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A0" w:rsidRPr="00A03CA0" w:rsidRDefault="00A03CA0" w:rsidP="00A03CA0">
      <w:pPr>
        <w:ind w:left="6237" w:right="-2"/>
        <w:rPr>
          <w:sz w:val="28"/>
          <w:szCs w:val="28"/>
        </w:rPr>
      </w:pPr>
      <w:r w:rsidRPr="00A03CA0">
        <w:rPr>
          <w:sz w:val="28"/>
          <w:szCs w:val="28"/>
        </w:rPr>
        <w:t>Approved by the order of the Chairman of the Committee on Statistics of the Ministry of National Economy of the Republic of Kazakhstan</w:t>
      </w:r>
    </w:p>
    <w:p w:rsidR="00A03CA0" w:rsidRPr="00A03CA0" w:rsidRDefault="00A03CA0" w:rsidP="00A03CA0">
      <w:pPr>
        <w:ind w:left="6237" w:right="-2"/>
        <w:rPr>
          <w:sz w:val="28"/>
          <w:szCs w:val="28"/>
        </w:rPr>
      </w:pPr>
      <w:r w:rsidRPr="00A03CA0">
        <w:rPr>
          <w:sz w:val="28"/>
          <w:szCs w:val="28"/>
        </w:rPr>
        <w:t>dated December 27, 2016</w:t>
      </w:r>
    </w:p>
    <w:p w:rsidR="005D2517" w:rsidRPr="00507DDF" w:rsidRDefault="00A03CA0" w:rsidP="00A03CA0">
      <w:pPr>
        <w:ind w:left="6237" w:right="-2"/>
        <w:rPr>
          <w:sz w:val="28"/>
          <w:szCs w:val="28"/>
        </w:rPr>
      </w:pPr>
      <w:r w:rsidRPr="00A03CA0">
        <w:rPr>
          <w:sz w:val="28"/>
          <w:szCs w:val="28"/>
        </w:rPr>
        <w:t>№326</w:t>
      </w:r>
    </w:p>
    <w:p w:rsidR="005D2517" w:rsidRPr="00507DDF" w:rsidRDefault="005D2517" w:rsidP="005D2517">
      <w:pPr>
        <w:ind w:firstLine="720"/>
        <w:jc w:val="center"/>
        <w:rPr>
          <w:sz w:val="28"/>
          <w:szCs w:val="28"/>
          <w:lang w:eastAsia="en-GB"/>
        </w:rPr>
      </w:pPr>
    </w:p>
    <w:p w:rsidR="005D2517" w:rsidRPr="00507DDF" w:rsidRDefault="005D2517" w:rsidP="005D2517">
      <w:pPr>
        <w:ind w:firstLine="720"/>
        <w:jc w:val="center"/>
        <w:rPr>
          <w:sz w:val="28"/>
          <w:szCs w:val="28"/>
          <w:lang w:eastAsia="en-GB"/>
        </w:rPr>
      </w:pPr>
    </w:p>
    <w:p w:rsidR="005D2517" w:rsidRPr="00507DDF" w:rsidRDefault="005D2517" w:rsidP="005D2517">
      <w:pPr>
        <w:pStyle w:val="3"/>
        <w:keepNext w:val="0"/>
        <w:spacing w:before="0" w:after="0" w:line="240" w:lineRule="auto"/>
        <w:jc w:val="center"/>
        <w:rPr>
          <w:rFonts w:ascii="Times New Roman" w:hAnsi="Times New Roman"/>
          <w:sz w:val="28"/>
          <w:szCs w:val="28"/>
        </w:rPr>
      </w:pPr>
      <w:r w:rsidRPr="00507DDF">
        <w:rPr>
          <w:rFonts w:ascii="Times New Roman" w:hAnsi="Times New Roman"/>
          <w:sz w:val="28"/>
          <w:szCs w:val="28"/>
        </w:rPr>
        <w:t>Methodology for constructing a composite leading indicator</w:t>
      </w:r>
    </w:p>
    <w:p w:rsidR="005D2517" w:rsidRPr="00DF064D" w:rsidRDefault="005D2517" w:rsidP="005D2517">
      <w:pPr>
        <w:rPr>
          <w:sz w:val="28"/>
          <w:szCs w:val="28"/>
          <w:lang w:eastAsia="en-GB"/>
        </w:rPr>
      </w:pPr>
    </w:p>
    <w:p w:rsidR="005D2517" w:rsidRPr="00DF064D" w:rsidRDefault="005D2517" w:rsidP="005D2517">
      <w:pPr>
        <w:rPr>
          <w:sz w:val="28"/>
          <w:szCs w:val="28"/>
          <w:lang w:eastAsia="en-GB"/>
        </w:rPr>
      </w:pPr>
    </w:p>
    <w:p w:rsidR="005D2517" w:rsidRPr="00507DDF" w:rsidRDefault="005D2517" w:rsidP="005D2517">
      <w:pPr>
        <w:pStyle w:val="3"/>
        <w:keepNext w:val="0"/>
        <w:spacing w:before="0" w:after="0" w:line="240" w:lineRule="auto"/>
        <w:jc w:val="center"/>
        <w:rPr>
          <w:rFonts w:ascii="Times New Roman" w:hAnsi="Times New Roman"/>
          <w:sz w:val="28"/>
          <w:szCs w:val="28"/>
        </w:rPr>
      </w:pPr>
      <w:r w:rsidRPr="00507DDF">
        <w:rPr>
          <w:rFonts w:ascii="Times New Roman" w:hAnsi="Times New Roman"/>
          <w:sz w:val="28"/>
          <w:szCs w:val="28"/>
        </w:rPr>
        <w:t xml:space="preserve">Chapter 1. General </w:t>
      </w:r>
      <w:r w:rsidR="00D95F03">
        <w:rPr>
          <w:rFonts w:ascii="Times New Roman" w:hAnsi="Times New Roman"/>
          <w:sz w:val="28"/>
          <w:szCs w:val="28"/>
        </w:rPr>
        <w:t>p</w:t>
      </w:r>
      <w:r w:rsidRPr="00507DDF">
        <w:rPr>
          <w:rFonts w:ascii="Times New Roman" w:hAnsi="Times New Roman"/>
          <w:sz w:val="28"/>
          <w:szCs w:val="28"/>
        </w:rPr>
        <w:t>rovisions</w:t>
      </w:r>
    </w:p>
    <w:p w:rsidR="005D2517" w:rsidRPr="00507DDF" w:rsidRDefault="005D2517" w:rsidP="005D2517">
      <w:pPr>
        <w:ind w:firstLine="720"/>
        <w:jc w:val="center"/>
        <w:rPr>
          <w:sz w:val="28"/>
          <w:szCs w:val="28"/>
          <w:lang w:eastAsia="en-GB"/>
        </w:rPr>
      </w:pPr>
    </w:p>
    <w:p w:rsidR="005D2517" w:rsidRPr="00507DDF" w:rsidRDefault="005D2517" w:rsidP="005D2517">
      <w:pPr>
        <w:keepNext/>
        <w:keepLines/>
        <w:numPr>
          <w:ilvl w:val="0"/>
          <w:numId w:val="2"/>
        </w:numPr>
        <w:tabs>
          <w:tab w:val="left" w:pos="1276"/>
        </w:tabs>
        <w:ind w:left="0" w:firstLine="709"/>
        <w:jc w:val="both"/>
        <w:rPr>
          <w:bCs/>
          <w:kern w:val="32"/>
          <w:sz w:val="28"/>
          <w:szCs w:val="28"/>
        </w:rPr>
      </w:pPr>
      <w:r w:rsidRPr="00507DDF">
        <w:rPr>
          <w:bCs/>
          <w:kern w:val="32"/>
          <w:sz w:val="28"/>
          <w:szCs w:val="28"/>
        </w:rPr>
        <w:t xml:space="preserve">The methodology </w:t>
      </w:r>
      <w:r w:rsidRPr="00507DDF">
        <w:rPr>
          <w:sz w:val="28"/>
          <w:szCs w:val="28"/>
        </w:rPr>
        <w:t xml:space="preserve">for constructing a composite leading indicator </w:t>
      </w:r>
      <w:r w:rsidRPr="00507DDF">
        <w:rPr>
          <w:sz w:val="28"/>
          <w:szCs w:val="28"/>
        </w:rPr>
        <w:br/>
      </w:r>
      <w:r w:rsidR="00A03CA0">
        <w:rPr>
          <w:bCs/>
          <w:kern w:val="32"/>
          <w:sz w:val="28"/>
          <w:szCs w:val="28"/>
        </w:rPr>
        <w:t xml:space="preserve">(hereinafter - Methodology) </w:t>
      </w:r>
      <w:r w:rsidRPr="00507DDF">
        <w:rPr>
          <w:sz w:val="28"/>
          <w:szCs w:val="28"/>
        </w:rPr>
        <w:t xml:space="preserve">refers to a statistical methodology formed in accordance with international standards and approved in accordance with </w:t>
      </w:r>
      <w:hyperlink r:id="rId7" w:anchor="z0" w:history="1">
        <w:r w:rsidRPr="00507DDF">
          <w:rPr>
            <w:sz w:val="28"/>
            <w:szCs w:val="28"/>
          </w:rPr>
          <w:t xml:space="preserve">the Law </w:t>
        </w:r>
      </w:hyperlink>
      <w:r w:rsidRPr="00507DDF">
        <w:rPr>
          <w:sz w:val="28"/>
          <w:szCs w:val="28"/>
        </w:rPr>
        <w:t>of the Republic of Kazakhstan dated March 19, 2010 "On State Statistics" (hereinafter - Law).</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This Methodology is intended for use by the Statistics Committee of the Ministry of National Economy of the Republic of Kazakhstan (hereinafter - the Committee) to build a composite leading indicator, in accordance with international standards.</w:t>
      </w:r>
    </w:p>
    <w:p w:rsidR="005D2517" w:rsidRDefault="005D2517" w:rsidP="005D2517">
      <w:pPr>
        <w:pStyle w:val="a7"/>
        <w:numPr>
          <w:ilvl w:val="0"/>
          <w:numId w:val="2"/>
        </w:numPr>
        <w:tabs>
          <w:tab w:val="left" w:pos="851"/>
        </w:tabs>
        <w:ind w:left="0" w:firstLine="709"/>
        <w:rPr>
          <w:sz w:val="28"/>
          <w:szCs w:val="28"/>
        </w:rPr>
      </w:pPr>
      <w:r w:rsidRPr="00507DDF">
        <w:rPr>
          <w:sz w:val="28"/>
          <w:szCs w:val="28"/>
        </w:rPr>
        <w:t xml:space="preserve">The purpose of this Methodology is to describe the algorithm for constructing a composite leading indicator, which is used solely to </w:t>
      </w:r>
      <w:r w:rsidRPr="00507DDF">
        <w:rPr>
          <w:bCs/>
          <w:sz w:val="28"/>
          <w:szCs w:val="28"/>
        </w:rPr>
        <w:t xml:space="preserve">obtain information about the direction of change in the business activity cycles of the economy and assess the likely trajectory of economic development ahead of several </w:t>
      </w:r>
      <w:r w:rsidRPr="00507DDF">
        <w:rPr>
          <w:sz w:val="28"/>
          <w:szCs w:val="28"/>
        </w:rPr>
        <w:t>periods (years, quarters, months).</w:t>
      </w:r>
    </w:p>
    <w:p w:rsidR="005D2517" w:rsidRPr="00516BD9" w:rsidRDefault="005D2517" w:rsidP="005D2517">
      <w:pPr>
        <w:pStyle w:val="a7"/>
        <w:numPr>
          <w:ilvl w:val="0"/>
          <w:numId w:val="2"/>
        </w:numPr>
        <w:tabs>
          <w:tab w:val="left" w:pos="851"/>
        </w:tabs>
        <w:ind w:left="0" w:firstLine="709"/>
        <w:rPr>
          <w:strike/>
          <w:sz w:val="28"/>
          <w:szCs w:val="28"/>
        </w:rPr>
      </w:pPr>
      <w:r>
        <w:rPr>
          <w:sz w:val="28"/>
          <w:szCs w:val="28"/>
        </w:rPr>
        <w:t>The Methodology describes the stages of building a composite leading indicator, which, along with other forecasting methods, allows monitoring and analyzing business cycles of the economy, determining the likely future direction of economic development, foreshadowing a possible change in the business activity of the economy, making a short-term forecast and obtaining information important for adoption. solutions to smooth adverse economic cycles.</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The following definitions are used in this Methodology:</w:t>
      </w:r>
    </w:p>
    <w:p w:rsidR="005D2517" w:rsidRPr="00F358E5" w:rsidRDefault="005D2517" w:rsidP="005D2517">
      <w:pPr>
        <w:numPr>
          <w:ilvl w:val="0"/>
          <w:numId w:val="3"/>
        </w:numPr>
        <w:tabs>
          <w:tab w:val="left" w:pos="1134"/>
        </w:tabs>
        <w:ind w:left="0" w:firstLine="720"/>
        <w:jc w:val="both"/>
        <w:rPr>
          <w:sz w:val="28"/>
          <w:szCs w:val="28"/>
        </w:rPr>
      </w:pPr>
      <w:r w:rsidRPr="00507DDF">
        <w:rPr>
          <w:sz w:val="28"/>
          <w:szCs w:val="28"/>
        </w:rPr>
        <w:t xml:space="preserve">business surveys - surveys of large and medium-sized enterprises by industry conducted by the Committee. Based on the results of surveys, short-term economic indicators are formed that allow assessing the current and future financial and economic </w:t>
      </w:r>
      <w:bookmarkStart w:id="0" w:name="_Toc290980685"/>
      <w:bookmarkStart w:id="1" w:name="_Toc291487991"/>
      <w:r w:rsidRPr="00F358E5">
        <w:rPr>
          <w:sz w:val="28"/>
          <w:szCs w:val="28"/>
        </w:rPr>
        <w:t>condition of enterprises;</w:t>
      </w:r>
    </w:p>
    <w:bookmarkEnd w:id="0"/>
    <w:bookmarkEnd w:id="1"/>
    <w:p w:rsidR="005D2517" w:rsidRPr="00F358E5" w:rsidRDefault="005D2517" w:rsidP="005D2517">
      <w:pPr>
        <w:numPr>
          <w:ilvl w:val="0"/>
          <w:numId w:val="3"/>
        </w:numPr>
        <w:tabs>
          <w:tab w:val="left" w:pos="1134"/>
        </w:tabs>
        <w:ind w:left="0" w:firstLine="720"/>
        <w:jc w:val="both"/>
        <w:rPr>
          <w:sz w:val="28"/>
          <w:szCs w:val="28"/>
        </w:rPr>
      </w:pPr>
      <w:r w:rsidRPr="00F358E5">
        <w:rPr>
          <w:sz w:val="28"/>
          <w:szCs w:val="28"/>
        </w:rPr>
        <w:t>a leading indicator-indicator that allows you to assess the likely trajectory of the economy and predict a possible change in the business activity of the economy ahead of several periods. A decrease in the level of the leading indicator is an early signal of a halt in growth or a decline in the level of the economy. The composite leading indicator is formed from indicators that in the group create leading signals;</w:t>
      </w:r>
    </w:p>
    <w:p w:rsidR="005D2517" w:rsidRPr="00F358E5" w:rsidRDefault="005D2517" w:rsidP="005D2517">
      <w:pPr>
        <w:numPr>
          <w:ilvl w:val="0"/>
          <w:numId w:val="3"/>
        </w:numPr>
        <w:tabs>
          <w:tab w:val="left" w:pos="1134"/>
        </w:tabs>
        <w:ind w:left="0" w:firstLine="720"/>
        <w:jc w:val="both"/>
        <w:rPr>
          <w:sz w:val="28"/>
          <w:szCs w:val="28"/>
        </w:rPr>
      </w:pPr>
      <w:r w:rsidRPr="00F358E5">
        <w:rPr>
          <w:sz w:val="28"/>
          <w:szCs w:val="28"/>
        </w:rPr>
        <w:lastRenderedPageBreak/>
        <w:t xml:space="preserve">the Hodrick-Prescott </w:t>
      </w:r>
      <w:r w:rsidRPr="00F358E5">
        <w:rPr>
          <w:sz w:val="28"/>
          <w:szCs w:val="28"/>
          <w:lang w:val="kk-KZ"/>
        </w:rPr>
        <w:t xml:space="preserve">method is a </w:t>
      </w:r>
      <w:hyperlink r:id="rId8" w:tooltip="временные ряды, составляющие временного ряда" w:history="1">
        <w:r w:rsidRPr="00F358E5">
          <w:rPr>
            <w:sz w:val="28"/>
            <w:szCs w:val="28"/>
          </w:rPr>
          <w:t xml:space="preserve">time series smoothing method </w:t>
        </w:r>
      </w:hyperlink>
      <w:r w:rsidRPr="00F358E5">
        <w:rPr>
          <w:sz w:val="28"/>
          <w:szCs w:val="28"/>
        </w:rPr>
        <w:t>that is used to highli</w:t>
      </w:r>
      <w:r w:rsidR="00D95F03">
        <w:rPr>
          <w:sz w:val="28"/>
          <w:szCs w:val="28"/>
        </w:rPr>
        <w:t xml:space="preserve">ght long-term trends in a time </w:t>
      </w:r>
      <w:r w:rsidRPr="00F358E5">
        <w:rPr>
          <w:sz w:val="28"/>
          <w:szCs w:val="28"/>
        </w:rPr>
        <w:t>series - seasonal fluctuations and trends.</w:t>
      </w:r>
    </w:p>
    <w:p w:rsidR="005D2517" w:rsidRPr="00F358E5" w:rsidRDefault="005D2517" w:rsidP="005D2517">
      <w:pPr>
        <w:numPr>
          <w:ilvl w:val="0"/>
          <w:numId w:val="3"/>
        </w:numPr>
        <w:tabs>
          <w:tab w:val="left" w:pos="1134"/>
        </w:tabs>
        <w:ind w:left="0" w:firstLine="720"/>
        <w:jc w:val="both"/>
        <w:rPr>
          <w:sz w:val="28"/>
          <w:szCs w:val="28"/>
        </w:rPr>
      </w:pPr>
      <w:r w:rsidRPr="00F358E5">
        <w:rPr>
          <w:sz w:val="28"/>
          <w:szCs w:val="28"/>
        </w:rPr>
        <w:t>economic cycles are fluctuations in production or business activity in the economy as a whole. These fluctuations are periodic in nature and are measured by the level of output, unemployment, investment, consumption, prices and other economic indicators;</w:t>
      </w:r>
    </w:p>
    <w:p w:rsidR="005D2517" w:rsidRDefault="005D2517" w:rsidP="005D2517">
      <w:pPr>
        <w:numPr>
          <w:ilvl w:val="0"/>
          <w:numId w:val="3"/>
        </w:numPr>
        <w:tabs>
          <w:tab w:val="left" w:pos="1134"/>
        </w:tabs>
        <w:ind w:left="0" w:firstLine="720"/>
        <w:jc w:val="both"/>
        <w:rPr>
          <w:sz w:val="28"/>
          <w:szCs w:val="28"/>
        </w:rPr>
      </w:pPr>
      <w:r w:rsidRPr="00F358E5">
        <w:rPr>
          <w:sz w:val="28"/>
          <w:szCs w:val="28"/>
        </w:rPr>
        <w:t>benchmark indicator - an indicator that reflects fluctuations in economic activity and its value is a benchmark for using leading indicators for forecasting purposes.</w:t>
      </w:r>
    </w:p>
    <w:p w:rsidR="005D2517" w:rsidRPr="00507DDF" w:rsidRDefault="005D2517" w:rsidP="005D2517">
      <w:pPr>
        <w:ind w:firstLine="720"/>
        <w:jc w:val="both"/>
        <w:rPr>
          <w:sz w:val="28"/>
          <w:szCs w:val="28"/>
        </w:rPr>
      </w:pPr>
    </w:p>
    <w:p w:rsidR="005D2517" w:rsidRPr="00507DDF" w:rsidRDefault="005D2517" w:rsidP="005D2517">
      <w:pPr>
        <w:ind w:firstLine="720"/>
        <w:jc w:val="both"/>
        <w:rPr>
          <w:sz w:val="28"/>
          <w:szCs w:val="28"/>
        </w:rPr>
      </w:pPr>
    </w:p>
    <w:p w:rsidR="005D2517" w:rsidRPr="00507DDF" w:rsidRDefault="005D2517" w:rsidP="005D2517">
      <w:pPr>
        <w:pStyle w:val="3"/>
        <w:keepNext w:val="0"/>
        <w:spacing w:before="0" w:after="0" w:line="240" w:lineRule="auto"/>
        <w:jc w:val="center"/>
        <w:rPr>
          <w:rFonts w:ascii="Times New Roman" w:hAnsi="Times New Roman"/>
          <w:sz w:val="28"/>
          <w:szCs w:val="28"/>
        </w:rPr>
      </w:pPr>
      <w:r w:rsidRPr="00507DDF">
        <w:rPr>
          <w:rFonts w:ascii="Times New Roman" w:hAnsi="Times New Roman"/>
          <w:sz w:val="28"/>
          <w:szCs w:val="28"/>
        </w:rPr>
        <w:t xml:space="preserve">Chapter 2. </w:t>
      </w:r>
      <w:bookmarkStart w:id="2" w:name="_Toc290980686"/>
      <w:bookmarkStart w:id="3" w:name="_Toc291487992"/>
      <w:bookmarkStart w:id="4" w:name="_Toc292449986"/>
      <w:bookmarkStart w:id="5" w:name="_Toc292869431"/>
      <w:bookmarkStart w:id="6" w:name="_Toc294190577"/>
      <w:r w:rsidRPr="00507DDF">
        <w:rPr>
          <w:rFonts w:ascii="Times New Roman" w:hAnsi="Times New Roman"/>
          <w:sz w:val="28"/>
          <w:szCs w:val="28"/>
        </w:rPr>
        <w:t xml:space="preserve">Choosing economic indicators for building a composite leading </w:t>
      </w:r>
      <w:bookmarkEnd w:id="2"/>
      <w:bookmarkEnd w:id="3"/>
      <w:bookmarkEnd w:id="4"/>
      <w:bookmarkEnd w:id="5"/>
      <w:r w:rsidRPr="00507DDF">
        <w:rPr>
          <w:rFonts w:ascii="Times New Roman" w:hAnsi="Times New Roman"/>
          <w:sz w:val="28"/>
          <w:szCs w:val="28"/>
        </w:rPr>
        <w:t>indicator</w:t>
      </w:r>
      <w:bookmarkEnd w:id="6"/>
    </w:p>
    <w:p w:rsidR="005D2517" w:rsidRPr="00507DDF" w:rsidRDefault="005D2517" w:rsidP="005D2517">
      <w:pPr>
        <w:ind w:firstLine="720"/>
        <w:jc w:val="both"/>
        <w:rPr>
          <w:sz w:val="28"/>
          <w:szCs w:val="28"/>
        </w:rPr>
      </w:pP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The construction of a composite leading indicator begins with the selection of indicators that are similar in certain qualitative and statistical characteristics relative to the benchmark indicator. When choosing an indicator, the following criteria are observed:</w:t>
      </w:r>
    </w:p>
    <w:p w:rsidR="005D2517" w:rsidRPr="00507DDF" w:rsidRDefault="005D2517" w:rsidP="005D2517">
      <w:pPr>
        <w:pStyle w:val="a7"/>
        <w:numPr>
          <w:ilvl w:val="0"/>
          <w:numId w:val="12"/>
        </w:numPr>
        <w:tabs>
          <w:tab w:val="left" w:pos="851"/>
          <w:tab w:val="left" w:pos="1134"/>
        </w:tabs>
        <w:ind w:left="0" w:firstLine="709"/>
        <w:rPr>
          <w:sz w:val="28"/>
          <w:szCs w:val="28"/>
        </w:rPr>
      </w:pPr>
      <w:r w:rsidRPr="00507DDF">
        <w:rPr>
          <w:sz w:val="28"/>
          <w:szCs w:val="28"/>
        </w:rPr>
        <w:t>economic characteristics: indicators have an economic explanation for leading, matching or lagging behind the reference indicator, reflect a wide range of economic activity and are formed from balanced results of market surveys, financial and economic indicators;</w:t>
      </w:r>
    </w:p>
    <w:p w:rsidR="005D2517" w:rsidRPr="00507DDF" w:rsidRDefault="005D2517" w:rsidP="005D2517">
      <w:pPr>
        <w:pStyle w:val="a7"/>
        <w:numPr>
          <w:ilvl w:val="0"/>
          <w:numId w:val="12"/>
        </w:numPr>
        <w:tabs>
          <w:tab w:val="left" w:pos="851"/>
          <w:tab w:val="left" w:pos="1134"/>
        </w:tabs>
        <w:ind w:left="0" w:firstLine="709"/>
        <w:rPr>
          <w:sz w:val="28"/>
          <w:szCs w:val="28"/>
        </w:rPr>
      </w:pPr>
      <w:r w:rsidRPr="00507DDF">
        <w:rPr>
          <w:sz w:val="28"/>
          <w:szCs w:val="28"/>
        </w:rPr>
        <w:t>practical characteristic: when constructing a composite leading indicator, the selected data are available and have long historical series;</w:t>
      </w:r>
    </w:p>
    <w:p w:rsidR="005D2517" w:rsidRPr="00507DDF" w:rsidRDefault="005D2517" w:rsidP="005D2517">
      <w:pPr>
        <w:pStyle w:val="a7"/>
        <w:numPr>
          <w:ilvl w:val="0"/>
          <w:numId w:val="12"/>
        </w:numPr>
        <w:tabs>
          <w:tab w:val="left" w:pos="851"/>
          <w:tab w:val="left" w:pos="1134"/>
        </w:tabs>
        <w:ind w:left="0" w:firstLine="709"/>
        <w:rPr>
          <w:sz w:val="28"/>
          <w:szCs w:val="28"/>
        </w:rPr>
      </w:pPr>
      <w:r w:rsidRPr="00507DDF">
        <w:rPr>
          <w:sz w:val="28"/>
          <w:szCs w:val="28"/>
        </w:rPr>
        <w:t>statistical characteristic: takes into account the magnitude and sequence of advance of the turning points of the indicator relative to the reference series. The correlation of the cyclicity of the reference series with the indicator is analyzed;</w:t>
      </w:r>
    </w:p>
    <w:p w:rsidR="005D2517" w:rsidRPr="00507DDF" w:rsidRDefault="005D2517" w:rsidP="005D2517">
      <w:pPr>
        <w:pStyle w:val="a7"/>
        <w:numPr>
          <w:ilvl w:val="0"/>
          <w:numId w:val="12"/>
        </w:numPr>
        <w:tabs>
          <w:tab w:val="left" w:pos="851"/>
          <w:tab w:val="left" w:pos="1134"/>
        </w:tabs>
        <w:ind w:left="0" w:firstLine="709"/>
        <w:rPr>
          <w:sz w:val="28"/>
          <w:szCs w:val="28"/>
        </w:rPr>
      </w:pPr>
      <w:r w:rsidRPr="00507DDF">
        <w:rPr>
          <w:sz w:val="28"/>
          <w:szCs w:val="28"/>
        </w:rPr>
        <w:t xml:space="preserve">analysis of individual economic fluctuations: identifies indicators for inclusion in a composite leading indicator. Certain economic processes change the nature of the relationship between macroeconomic variables </w:t>
      </w:r>
      <w:r>
        <w:rPr>
          <w:sz w:val="28"/>
          <w:szCs w:val="28"/>
          <w:lang w:val="kk-KZ"/>
        </w:rPr>
        <w:t xml:space="preserve">, </w:t>
      </w:r>
      <w:r w:rsidRPr="00507DDF">
        <w:rPr>
          <w:sz w:val="28"/>
          <w:szCs w:val="28"/>
        </w:rPr>
        <w:t>the indicator, while well correlated with the reference series based on the analysis of recent data, is not correlated when analyzing past historical data.</w:t>
      </w:r>
    </w:p>
    <w:p w:rsidR="005D2517" w:rsidRPr="00507DDF" w:rsidRDefault="005D2517" w:rsidP="005D2517">
      <w:pPr>
        <w:ind w:firstLine="708"/>
        <w:jc w:val="both"/>
        <w:rPr>
          <w:sz w:val="28"/>
          <w:szCs w:val="28"/>
        </w:rPr>
      </w:pPr>
    </w:p>
    <w:p w:rsidR="005D2517" w:rsidRPr="00507DDF" w:rsidRDefault="005D2517" w:rsidP="005D2517">
      <w:pPr>
        <w:ind w:firstLine="708"/>
        <w:jc w:val="both"/>
        <w:rPr>
          <w:sz w:val="28"/>
          <w:szCs w:val="28"/>
        </w:rPr>
      </w:pPr>
    </w:p>
    <w:p w:rsidR="005D2517" w:rsidRPr="00507DDF" w:rsidRDefault="005D2517" w:rsidP="005D2517">
      <w:pPr>
        <w:pStyle w:val="3"/>
        <w:keepNext w:val="0"/>
        <w:spacing w:before="0" w:after="0" w:line="240" w:lineRule="auto"/>
        <w:jc w:val="center"/>
        <w:rPr>
          <w:rFonts w:ascii="Times New Roman" w:hAnsi="Times New Roman"/>
          <w:sz w:val="28"/>
          <w:szCs w:val="28"/>
        </w:rPr>
      </w:pPr>
      <w:r w:rsidRPr="00507DDF">
        <w:rPr>
          <w:rFonts w:ascii="Times New Roman" w:hAnsi="Times New Roman"/>
          <w:sz w:val="28"/>
          <w:szCs w:val="28"/>
        </w:rPr>
        <w:t>Chapter 3. Building a Composite Leading Indicator</w:t>
      </w:r>
    </w:p>
    <w:p w:rsidR="005D2517" w:rsidRPr="00507DDF" w:rsidRDefault="005D2517" w:rsidP="005D2517">
      <w:pPr>
        <w:ind w:firstLine="708"/>
        <w:jc w:val="both"/>
        <w:rPr>
          <w:sz w:val="28"/>
          <w:szCs w:val="28"/>
        </w:rPr>
      </w:pP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The reference indicator is the dynamics of the gross domestic product (hereinafter - GDP).</w:t>
      </w:r>
    </w:p>
    <w:p w:rsidR="005D2517" w:rsidRPr="00507DDF" w:rsidRDefault="005D2517" w:rsidP="005D2517">
      <w:pPr>
        <w:pStyle w:val="a7"/>
        <w:numPr>
          <w:ilvl w:val="0"/>
          <w:numId w:val="2"/>
        </w:numPr>
        <w:tabs>
          <w:tab w:val="left" w:pos="851"/>
        </w:tabs>
        <w:ind w:left="0" w:firstLine="709"/>
        <w:rPr>
          <w:sz w:val="28"/>
          <w:szCs w:val="28"/>
        </w:rPr>
      </w:pPr>
      <w:r>
        <w:rPr>
          <w:sz w:val="28"/>
          <w:szCs w:val="28"/>
        </w:rPr>
        <w:t>The Committee monitors economic participants in order to identify early signals of a change in the direction of economic cycles. Questions of general observation consist in assessing the current economic situation and expectations of future changes.</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lastRenderedPageBreak/>
        <w:t xml:space="preserve">To build a composite leading indicator, data </w:t>
      </w:r>
      <w:r w:rsidRPr="00BA28EC">
        <w:rPr>
          <w:bCs/>
          <w:sz w:val="28"/>
          <w:szCs w:val="28"/>
        </w:rPr>
        <w:t xml:space="preserve">from nationwide statistical observations </w:t>
      </w:r>
      <w:r>
        <w:rPr>
          <w:sz w:val="28"/>
          <w:szCs w:val="28"/>
        </w:rPr>
        <w:t>of the market survey are used, consisting of the following indicators:</w:t>
      </w:r>
    </w:p>
    <w:p w:rsidR="005D2517" w:rsidRPr="00507DDF" w:rsidRDefault="005D2517" w:rsidP="005D2517">
      <w:pPr>
        <w:pStyle w:val="a7"/>
        <w:numPr>
          <w:ilvl w:val="0"/>
          <w:numId w:val="13"/>
        </w:numPr>
        <w:tabs>
          <w:tab w:val="left" w:pos="1134"/>
        </w:tabs>
        <w:ind w:left="0" w:firstLine="709"/>
        <w:rPr>
          <w:sz w:val="28"/>
          <w:szCs w:val="28"/>
        </w:rPr>
      </w:pPr>
      <w:r w:rsidRPr="00507DDF">
        <w:rPr>
          <w:sz w:val="28"/>
          <w:szCs w:val="28"/>
        </w:rPr>
        <w:t>expected release of the main product;</w:t>
      </w:r>
    </w:p>
    <w:p w:rsidR="005D2517" w:rsidRPr="00507DDF" w:rsidRDefault="005D2517" w:rsidP="005D2517">
      <w:pPr>
        <w:pStyle w:val="a7"/>
        <w:numPr>
          <w:ilvl w:val="0"/>
          <w:numId w:val="13"/>
        </w:numPr>
        <w:tabs>
          <w:tab w:val="left" w:pos="1134"/>
        </w:tabs>
        <w:ind w:left="0" w:firstLine="709"/>
        <w:rPr>
          <w:sz w:val="28"/>
          <w:szCs w:val="28"/>
        </w:rPr>
      </w:pPr>
      <w:r w:rsidRPr="00507DDF">
        <w:rPr>
          <w:sz w:val="28"/>
          <w:szCs w:val="28"/>
        </w:rPr>
        <w:t>demand for finished products;</w:t>
      </w:r>
    </w:p>
    <w:p w:rsidR="005D2517" w:rsidRPr="00507DDF" w:rsidRDefault="005D2517" w:rsidP="005D2517">
      <w:pPr>
        <w:pStyle w:val="a7"/>
        <w:numPr>
          <w:ilvl w:val="0"/>
          <w:numId w:val="13"/>
        </w:numPr>
        <w:tabs>
          <w:tab w:val="left" w:pos="1134"/>
        </w:tabs>
        <w:ind w:left="0" w:firstLine="709"/>
        <w:rPr>
          <w:sz w:val="28"/>
          <w:szCs w:val="28"/>
        </w:rPr>
      </w:pPr>
      <w:r w:rsidRPr="00507DDF">
        <w:rPr>
          <w:sz w:val="28"/>
          <w:szCs w:val="28"/>
        </w:rPr>
        <w:t>the number of employed workers;</w:t>
      </w:r>
    </w:p>
    <w:p w:rsidR="005D2517" w:rsidRPr="00507DDF" w:rsidRDefault="005D2517" w:rsidP="005D2517">
      <w:pPr>
        <w:pStyle w:val="a7"/>
        <w:numPr>
          <w:ilvl w:val="0"/>
          <w:numId w:val="13"/>
        </w:numPr>
        <w:tabs>
          <w:tab w:val="left" w:pos="1134"/>
        </w:tabs>
        <w:ind w:left="0" w:firstLine="709"/>
        <w:rPr>
          <w:sz w:val="28"/>
          <w:szCs w:val="28"/>
        </w:rPr>
      </w:pPr>
      <w:r w:rsidRPr="00507DDF">
        <w:rPr>
          <w:sz w:val="28"/>
          <w:szCs w:val="28"/>
        </w:rPr>
        <w:t>financial and economic situation.</w:t>
      </w:r>
    </w:p>
    <w:p w:rsidR="005D2517" w:rsidRPr="00507DDF" w:rsidRDefault="005D2517" w:rsidP="005D2517">
      <w:pPr>
        <w:pStyle w:val="a7"/>
        <w:tabs>
          <w:tab w:val="left" w:pos="851"/>
        </w:tabs>
        <w:rPr>
          <w:sz w:val="28"/>
          <w:szCs w:val="28"/>
        </w:rPr>
      </w:pPr>
      <w:r w:rsidRPr="00507DDF">
        <w:rPr>
          <w:sz w:val="28"/>
          <w:szCs w:val="28"/>
        </w:rPr>
        <w:t>In order to improve the results of the formation of a composite leading indicator, the calculation includes the indicator of labor statistics "number of vacancies". Appendix 1 to this Methodology presents indicators that form a composite leading indicator.</w:t>
      </w:r>
    </w:p>
    <w:p w:rsidR="005D2517" w:rsidRPr="00A02791" w:rsidRDefault="005D2517" w:rsidP="005D2517">
      <w:pPr>
        <w:pStyle w:val="a7"/>
        <w:numPr>
          <w:ilvl w:val="0"/>
          <w:numId w:val="2"/>
        </w:numPr>
        <w:tabs>
          <w:tab w:val="left" w:pos="851"/>
        </w:tabs>
        <w:ind w:left="0" w:firstLine="709"/>
        <w:rPr>
          <w:sz w:val="28"/>
          <w:szCs w:val="28"/>
        </w:rPr>
      </w:pPr>
      <w:r w:rsidRPr="00507DDF">
        <w:rPr>
          <w:sz w:val="28"/>
          <w:szCs w:val="28"/>
        </w:rPr>
        <w:t>The main factor in choosing indicators for the formation of a composite leading indicator was the cyclical characteristic of an individual indicator relative to the reference series. The cyclical characteristics of the indicators were determined by graphical analysis, as well as by correlation analysis.</w:t>
      </w:r>
    </w:p>
    <w:p w:rsidR="005D2517" w:rsidRPr="00A02791" w:rsidRDefault="005D2517" w:rsidP="005D2517">
      <w:pPr>
        <w:pStyle w:val="a7"/>
        <w:numPr>
          <w:ilvl w:val="0"/>
          <w:numId w:val="2"/>
        </w:numPr>
        <w:tabs>
          <w:tab w:val="left" w:pos="851"/>
        </w:tabs>
        <w:ind w:left="0" w:firstLine="709"/>
        <w:rPr>
          <w:sz w:val="28"/>
          <w:szCs w:val="28"/>
        </w:rPr>
      </w:pPr>
      <w:r w:rsidRPr="00A02791">
        <w:rPr>
          <w:sz w:val="28"/>
          <w:szCs w:val="28"/>
        </w:rPr>
        <w:t>In the process of correlation analysis, indicators were selected that had leading qualities relative to the reference series.</w:t>
      </w:r>
    </w:p>
    <w:p w:rsidR="005D2517" w:rsidRPr="00507DDF" w:rsidRDefault="005D2517" w:rsidP="005D2517">
      <w:pPr>
        <w:pStyle w:val="a7"/>
        <w:numPr>
          <w:ilvl w:val="0"/>
          <w:numId w:val="2"/>
        </w:numPr>
        <w:tabs>
          <w:tab w:val="left" w:pos="851"/>
        </w:tabs>
        <w:ind w:left="0" w:firstLine="709"/>
        <w:rPr>
          <w:sz w:val="28"/>
          <w:szCs w:val="28"/>
        </w:rPr>
      </w:pPr>
      <w:r w:rsidRPr="00A02791">
        <w:rPr>
          <w:sz w:val="28"/>
          <w:szCs w:val="28"/>
        </w:rPr>
        <w:t>When forming a list of indicators for building summary leading indicators, the data is processed, seasonality, trend and random (irregular) fluctuations are excluded. Time series components equation:</w:t>
      </w:r>
    </w:p>
    <w:p w:rsidR="005D2517" w:rsidRPr="00507DDF" w:rsidRDefault="005D2517" w:rsidP="005D2517">
      <w:pPr>
        <w:tabs>
          <w:tab w:val="left" w:pos="142"/>
          <w:tab w:val="left" w:pos="1701"/>
        </w:tabs>
        <w:ind w:left="851" w:right="-425"/>
        <w:jc w:val="both"/>
        <w:rPr>
          <w:sz w:val="28"/>
          <w:szCs w:val="28"/>
        </w:rPr>
      </w:pPr>
    </w:p>
    <w:p w:rsidR="005D2517" w:rsidRPr="00507DDF" w:rsidRDefault="005D2517" w:rsidP="005D2517">
      <w:pPr>
        <w:tabs>
          <w:tab w:val="left" w:pos="142"/>
          <w:tab w:val="left" w:pos="1701"/>
        </w:tabs>
        <w:jc w:val="center"/>
        <w:rPr>
          <w:rFonts w:eastAsia="Calibri"/>
          <w:i/>
          <w:iCs/>
          <w:sz w:val="28"/>
          <w:szCs w:val="28"/>
        </w:rPr>
      </w:pPr>
      <w:r w:rsidRPr="00507DDF">
        <w:rPr>
          <w:rFonts w:eastAsia="Calibri"/>
          <w:i/>
          <w:iCs/>
          <w:sz w:val="28"/>
          <w:szCs w:val="28"/>
        </w:rPr>
        <w:t xml:space="preserve">Y </w:t>
      </w:r>
      <w:r w:rsidRPr="00507DDF">
        <w:rPr>
          <w:rFonts w:eastAsia="Calibri"/>
          <w:i/>
          <w:sz w:val="28"/>
          <w:szCs w:val="28"/>
        </w:rPr>
        <w:t xml:space="preserve">= </w:t>
      </w:r>
      <w:r w:rsidRPr="00507DDF">
        <w:rPr>
          <w:rFonts w:eastAsia="Calibri"/>
          <w:i/>
          <w:iCs/>
          <w:sz w:val="28"/>
          <w:szCs w:val="28"/>
        </w:rPr>
        <w:t xml:space="preserve">C </w:t>
      </w:r>
      <w:r w:rsidRPr="00507DDF">
        <w:rPr>
          <w:rFonts w:eastAsia="Calibri"/>
          <w:i/>
          <w:sz w:val="28"/>
          <w:szCs w:val="28"/>
        </w:rPr>
        <w:t xml:space="preserve">× T × </w:t>
      </w:r>
      <w:r w:rsidRPr="00507DDF">
        <w:rPr>
          <w:rFonts w:eastAsia="Calibri"/>
          <w:i/>
          <w:iCs/>
          <w:sz w:val="28"/>
          <w:szCs w:val="28"/>
        </w:rPr>
        <w:t xml:space="preserve">S </w:t>
      </w:r>
      <w:r w:rsidRPr="00507DDF">
        <w:rPr>
          <w:rFonts w:eastAsia="Calibri"/>
          <w:i/>
          <w:sz w:val="28"/>
          <w:szCs w:val="28"/>
        </w:rPr>
        <w:t xml:space="preserve">× </w:t>
      </w:r>
      <w:r w:rsidRPr="00507DDF">
        <w:rPr>
          <w:rFonts w:eastAsia="Calibri"/>
          <w:i/>
          <w:iCs/>
          <w:sz w:val="28"/>
          <w:szCs w:val="28"/>
        </w:rPr>
        <w:t>I,</w:t>
      </w:r>
    </w:p>
    <w:p w:rsidR="005D2517" w:rsidRPr="00507DDF" w:rsidRDefault="00A03CA0" w:rsidP="005D2517">
      <w:pPr>
        <w:tabs>
          <w:tab w:val="left" w:pos="142"/>
          <w:tab w:val="left" w:pos="1701"/>
        </w:tabs>
        <w:ind w:left="709" w:right="-425"/>
        <w:jc w:val="both"/>
        <w:rPr>
          <w:rFonts w:eastAsia="Calibri"/>
          <w:iCs/>
          <w:sz w:val="28"/>
          <w:szCs w:val="28"/>
        </w:rPr>
      </w:pPr>
      <w:r>
        <w:rPr>
          <w:rFonts w:eastAsia="Calibri"/>
          <w:iCs/>
          <w:sz w:val="28"/>
          <w:szCs w:val="28"/>
        </w:rPr>
        <w:t>where:</w:t>
      </w:r>
    </w:p>
    <w:p w:rsidR="005D2517" w:rsidRPr="00507DDF" w:rsidRDefault="005D2517" w:rsidP="005D2517">
      <w:pPr>
        <w:pStyle w:val="a7"/>
        <w:tabs>
          <w:tab w:val="left" w:pos="851"/>
        </w:tabs>
        <w:ind w:left="709" w:firstLine="0"/>
        <w:rPr>
          <w:sz w:val="28"/>
          <w:szCs w:val="28"/>
        </w:rPr>
      </w:pPr>
      <w:r w:rsidRPr="00507DDF">
        <w:rPr>
          <w:rFonts w:eastAsia="Calibri"/>
          <w:i/>
          <w:iCs/>
          <w:sz w:val="28"/>
          <w:szCs w:val="28"/>
        </w:rPr>
        <w:t xml:space="preserve">Y </w:t>
      </w:r>
      <w:r w:rsidRPr="00507DDF">
        <w:rPr>
          <w:sz w:val="28"/>
          <w:szCs w:val="28"/>
        </w:rPr>
        <w:t>- time series;</w:t>
      </w:r>
    </w:p>
    <w:p w:rsidR="005D2517" w:rsidRPr="00507DDF" w:rsidRDefault="005D2517" w:rsidP="005D2517">
      <w:pPr>
        <w:pStyle w:val="a7"/>
        <w:tabs>
          <w:tab w:val="left" w:pos="851"/>
        </w:tabs>
        <w:ind w:left="709" w:firstLine="0"/>
        <w:rPr>
          <w:sz w:val="28"/>
          <w:szCs w:val="28"/>
        </w:rPr>
      </w:pPr>
      <w:r w:rsidRPr="00507DDF">
        <w:rPr>
          <w:rFonts w:eastAsia="Calibri"/>
          <w:i/>
          <w:iCs/>
          <w:sz w:val="28"/>
          <w:szCs w:val="28"/>
        </w:rPr>
        <w:t xml:space="preserve">C </w:t>
      </w:r>
      <w:r w:rsidRPr="00507DDF">
        <w:rPr>
          <w:sz w:val="28"/>
          <w:szCs w:val="28"/>
        </w:rPr>
        <w:t>– cycle;</w:t>
      </w:r>
    </w:p>
    <w:p w:rsidR="005D2517" w:rsidRPr="00507DDF" w:rsidRDefault="005D2517" w:rsidP="005D2517">
      <w:pPr>
        <w:pStyle w:val="a7"/>
        <w:tabs>
          <w:tab w:val="left" w:pos="851"/>
        </w:tabs>
        <w:ind w:left="709" w:firstLine="0"/>
        <w:rPr>
          <w:sz w:val="28"/>
          <w:szCs w:val="28"/>
        </w:rPr>
      </w:pPr>
      <w:r w:rsidRPr="00507DDF">
        <w:rPr>
          <w:rFonts w:eastAsia="Calibri"/>
          <w:i/>
          <w:sz w:val="28"/>
          <w:szCs w:val="28"/>
        </w:rPr>
        <w:t xml:space="preserve">T - </w:t>
      </w:r>
      <w:r w:rsidRPr="00507DDF">
        <w:rPr>
          <w:sz w:val="28"/>
          <w:szCs w:val="28"/>
        </w:rPr>
        <w:t>trend;</w:t>
      </w:r>
    </w:p>
    <w:p w:rsidR="005D2517" w:rsidRPr="00507DDF" w:rsidRDefault="005D2517" w:rsidP="005D2517">
      <w:pPr>
        <w:pStyle w:val="a7"/>
        <w:tabs>
          <w:tab w:val="left" w:pos="851"/>
        </w:tabs>
        <w:ind w:left="709" w:firstLine="0"/>
        <w:rPr>
          <w:sz w:val="28"/>
          <w:szCs w:val="28"/>
        </w:rPr>
      </w:pPr>
      <w:r w:rsidRPr="00507DDF">
        <w:rPr>
          <w:rFonts w:eastAsia="Calibri"/>
          <w:i/>
          <w:iCs/>
          <w:sz w:val="28"/>
          <w:szCs w:val="28"/>
        </w:rPr>
        <w:t xml:space="preserve">S </w:t>
      </w:r>
      <w:r w:rsidRPr="00507DDF">
        <w:rPr>
          <w:sz w:val="28"/>
          <w:szCs w:val="28"/>
        </w:rPr>
        <w:t>- seasonality;</w:t>
      </w:r>
    </w:p>
    <w:p w:rsidR="005D2517" w:rsidRPr="00507DDF" w:rsidRDefault="005D2517" w:rsidP="005D2517">
      <w:pPr>
        <w:pStyle w:val="a7"/>
        <w:tabs>
          <w:tab w:val="left" w:pos="851"/>
        </w:tabs>
        <w:ind w:left="709" w:firstLine="0"/>
        <w:rPr>
          <w:sz w:val="28"/>
          <w:szCs w:val="28"/>
        </w:rPr>
      </w:pPr>
      <w:r w:rsidRPr="00507DDF">
        <w:rPr>
          <w:rFonts w:eastAsia="Calibri"/>
          <w:i/>
          <w:iCs/>
          <w:sz w:val="28"/>
          <w:szCs w:val="28"/>
        </w:rPr>
        <w:t xml:space="preserve">I </w:t>
      </w:r>
      <w:r w:rsidRPr="00507DDF">
        <w:rPr>
          <w:sz w:val="28"/>
          <w:szCs w:val="28"/>
        </w:rPr>
        <w:t>- irregular oscillations.</w:t>
      </w:r>
    </w:p>
    <w:p w:rsidR="005D2517" w:rsidRPr="00A02791" w:rsidRDefault="005D2517" w:rsidP="005D2517">
      <w:pPr>
        <w:pStyle w:val="a7"/>
        <w:numPr>
          <w:ilvl w:val="0"/>
          <w:numId w:val="2"/>
        </w:numPr>
        <w:tabs>
          <w:tab w:val="left" w:pos="851"/>
        </w:tabs>
        <w:ind w:left="0" w:firstLine="709"/>
        <w:rPr>
          <w:bCs/>
          <w:sz w:val="28"/>
          <w:szCs w:val="28"/>
        </w:rPr>
      </w:pPr>
      <w:r w:rsidRPr="00A02791">
        <w:rPr>
          <w:sz w:val="28"/>
          <w:szCs w:val="28"/>
        </w:rPr>
        <w:t xml:space="preserve">Smoothing is performed to bring all composite </w:t>
      </w:r>
      <w:r w:rsidRPr="00A02791">
        <w:rPr>
          <w:bCs/>
          <w:sz w:val="28"/>
          <w:szCs w:val="28"/>
        </w:rPr>
        <w:t xml:space="preserve">series of the composite leading indicator to the same smoothness. The seasonality of the indicators was smoothed using the X12 ARIMA method. The X12 ARIMA method is a complex procedure for separating the seasonality of a time series. Features have been added to the method, such as types of seasonality, types of seasonal filters (moving average), unloading series containing corrections for holidays and containing a seasonal component, unloading series of spectral frequencies SP1 and SP2, spectral densities SP1 and SP2. </w:t>
      </w:r>
      <w:r>
        <w:rPr>
          <w:bCs/>
          <w:sz w:val="28"/>
          <w:szCs w:val="28"/>
        </w:rPr>
        <w:t>The seasonally adjusted time series is given in Appendix 2 to this Methodology.</w:t>
      </w:r>
    </w:p>
    <w:p w:rsidR="005D2517" w:rsidRPr="00F23926" w:rsidRDefault="00D95F03" w:rsidP="00D95F03">
      <w:pPr>
        <w:pStyle w:val="a7"/>
        <w:numPr>
          <w:ilvl w:val="0"/>
          <w:numId w:val="2"/>
        </w:numPr>
        <w:tabs>
          <w:tab w:val="left" w:pos="851"/>
        </w:tabs>
        <w:ind w:left="0" w:firstLine="851"/>
        <w:rPr>
          <w:bCs/>
          <w:color w:val="000000"/>
          <w:sz w:val="28"/>
          <w:szCs w:val="28"/>
        </w:rPr>
      </w:pPr>
      <w:r w:rsidRPr="00D95F03">
        <w:rPr>
          <w:bCs/>
          <w:sz w:val="28"/>
          <w:szCs w:val="28"/>
        </w:rPr>
        <w:t>The trend of time series extracted by the Hodrick-Prescott method is presented in Appendix 3 to this Methodology.</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The next step is to normalize the time series. Time series are normalized in order to obtain series with the same amplitudes. Normalized time series are presented in Appendix 4 to this Methodology.</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 xml:space="preserve">Weighting is carried out by assigning weights to each component included in the composite indicator. The same weights are used when compiling a composite </w:t>
      </w:r>
      <w:r w:rsidRPr="00507DDF">
        <w:rPr>
          <w:sz w:val="28"/>
          <w:szCs w:val="28"/>
        </w:rPr>
        <w:lastRenderedPageBreak/>
        <w:t>indicator, or weights are used depending on the quality of the lead of individual indicators.</w:t>
      </w:r>
    </w:p>
    <w:p w:rsidR="005D2517" w:rsidRDefault="005D2517" w:rsidP="005D2517">
      <w:pPr>
        <w:pStyle w:val="a7"/>
        <w:numPr>
          <w:ilvl w:val="0"/>
          <w:numId w:val="2"/>
        </w:numPr>
        <w:tabs>
          <w:tab w:val="left" w:pos="851"/>
        </w:tabs>
        <w:ind w:left="0" w:firstLine="709"/>
        <w:rPr>
          <w:sz w:val="28"/>
          <w:szCs w:val="28"/>
        </w:rPr>
      </w:pPr>
      <w:r w:rsidRPr="00507DDF">
        <w:rPr>
          <w:sz w:val="28"/>
          <w:szCs w:val="28"/>
        </w:rPr>
        <w:t>A summary of individual indicators is produced to obtain a composite leading indicator. The average value of the composite indicator is adjusted to one, and with a uniform distribution of weights, a coefficient of 0.2 is assigned to each composite indicator. The composite leading indicator is calculated using the following formula:</w:t>
      </w:r>
    </w:p>
    <w:p w:rsidR="005D2517" w:rsidRPr="002420CF" w:rsidRDefault="005D2517" w:rsidP="005D2517">
      <w:pPr>
        <w:ind w:firstLine="708"/>
        <w:jc w:val="both"/>
        <w:rPr>
          <w:sz w:val="28"/>
          <w:szCs w:val="28"/>
        </w:rPr>
      </w:pPr>
    </w:p>
    <w:p w:rsidR="005D2517" w:rsidRPr="002420CF" w:rsidRDefault="005D2517" w:rsidP="005D2517">
      <w:pPr>
        <w:tabs>
          <w:tab w:val="left" w:pos="142"/>
        </w:tabs>
        <w:autoSpaceDE w:val="0"/>
        <w:autoSpaceDN w:val="0"/>
        <w:adjustRightInd w:val="0"/>
        <w:ind w:right="-425" w:firstLine="851"/>
        <w:jc w:val="center"/>
        <w:rPr>
          <w:sz w:val="28"/>
          <w:szCs w:val="28"/>
        </w:rPr>
      </w:pPr>
      <m:oMath>
        <m:r>
          <m:rPr>
            <m:sty m:val="p"/>
          </m:rPr>
          <w:rPr>
            <w:rFonts w:ascii="Cambria Math"/>
            <w:sz w:val="28"/>
            <w:szCs w:val="28"/>
          </w:rPr>
          <m:t>CLI=0,2Emp+0,2Dfg+0,2Out+0,2Fin+0,2Vak</m:t>
        </m:r>
      </m:oMath>
      <w:r w:rsidRPr="002420CF">
        <w:rPr>
          <w:sz w:val="28"/>
          <w:szCs w:val="28"/>
        </w:rPr>
        <w:t>,</w:t>
      </w:r>
    </w:p>
    <w:p w:rsidR="005D2517" w:rsidRPr="002420CF" w:rsidRDefault="005D2517" w:rsidP="005D2517">
      <w:pPr>
        <w:ind w:firstLine="708"/>
        <w:jc w:val="both"/>
        <w:rPr>
          <w:bCs/>
          <w:sz w:val="28"/>
          <w:szCs w:val="28"/>
        </w:rPr>
      </w:pPr>
    </w:p>
    <w:p w:rsidR="005D2517" w:rsidRPr="002420CF" w:rsidRDefault="00A03CA0" w:rsidP="005D2517">
      <w:pPr>
        <w:tabs>
          <w:tab w:val="left" w:pos="142"/>
        </w:tabs>
        <w:autoSpaceDE w:val="0"/>
        <w:autoSpaceDN w:val="0"/>
        <w:adjustRightInd w:val="0"/>
        <w:ind w:right="-425" w:firstLine="851"/>
        <w:rPr>
          <w:bCs/>
          <w:sz w:val="28"/>
          <w:szCs w:val="28"/>
        </w:rPr>
      </w:pPr>
      <w:r>
        <w:rPr>
          <w:bCs/>
          <w:sz w:val="28"/>
          <w:szCs w:val="28"/>
        </w:rPr>
        <w:t>where:</w:t>
      </w:r>
    </w:p>
    <w:p w:rsidR="005D2517" w:rsidRPr="002420CF" w:rsidRDefault="005D2517" w:rsidP="005D2517">
      <w:pPr>
        <w:tabs>
          <w:tab w:val="left" w:pos="142"/>
        </w:tabs>
        <w:autoSpaceDE w:val="0"/>
        <w:autoSpaceDN w:val="0"/>
        <w:adjustRightInd w:val="0"/>
        <w:ind w:right="-425" w:firstLine="851"/>
        <w:rPr>
          <w:sz w:val="28"/>
          <w:szCs w:val="28"/>
        </w:rPr>
      </w:pPr>
      <m:oMath>
        <m:r>
          <m:rPr>
            <m:sty m:val="p"/>
          </m:rPr>
          <w:rPr>
            <w:rFonts w:ascii="Cambria Math"/>
            <w:sz w:val="28"/>
            <w:szCs w:val="28"/>
          </w:rPr>
          <m:t>CLI</m:t>
        </m:r>
      </m:oMath>
      <w:r w:rsidRPr="002420CF">
        <w:rPr>
          <w:sz w:val="28"/>
          <w:szCs w:val="28"/>
        </w:rPr>
        <w:t>– consolidated leading indicator;</w:t>
      </w:r>
    </w:p>
    <w:p w:rsidR="005D2517" w:rsidRPr="002420CF" w:rsidRDefault="005D2517" w:rsidP="005D2517">
      <w:pPr>
        <w:tabs>
          <w:tab w:val="left" w:pos="142"/>
        </w:tabs>
        <w:autoSpaceDE w:val="0"/>
        <w:autoSpaceDN w:val="0"/>
        <w:adjustRightInd w:val="0"/>
        <w:ind w:right="-425" w:firstLine="851"/>
        <w:rPr>
          <w:bCs/>
          <w:sz w:val="28"/>
          <w:szCs w:val="28"/>
        </w:rPr>
      </w:pPr>
      <m:oMath>
        <m:r>
          <m:rPr>
            <m:sty m:val="p"/>
          </m:rPr>
          <w:rPr>
            <w:rFonts w:ascii="Cambria Math"/>
            <w:sz w:val="28"/>
            <w:szCs w:val="28"/>
          </w:rPr>
          <m:t>Emp</m:t>
        </m:r>
      </m:oMath>
      <w:r w:rsidRPr="002420CF">
        <w:rPr>
          <w:bCs/>
          <w:sz w:val="28"/>
          <w:szCs w:val="28"/>
        </w:rPr>
        <w:t>– number of employed workers;</w:t>
      </w:r>
    </w:p>
    <w:p w:rsidR="005D2517" w:rsidRPr="00507DDF" w:rsidRDefault="005D2517" w:rsidP="005D2517">
      <w:pPr>
        <w:tabs>
          <w:tab w:val="left" w:pos="142"/>
        </w:tabs>
        <w:autoSpaceDE w:val="0"/>
        <w:autoSpaceDN w:val="0"/>
        <w:adjustRightInd w:val="0"/>
        <w:ind w:right="-425" w:firstLine="851"/>
        <w:rPr>
          <w:bCs/>
          <w:sz w:val="28"/>
          <w:szCs w:val="28"/>
        </w:rPr>
      </w:pPr>
      <m:oMath>
        <m:r>
          <m:rPr>
            <m:sty m:val="p"/>
          </m:rPr>
          <w:rPr>
            <w:rFonts w:ascii="Cambria Math"/>
            <w:sz w:val="28"/>
            <w:szCs w:val="28"/>
          </w:rPr>
          <m:t>Dfg</m:t>
        </m:r>
      </m:oMath>
      <w:r w:rsidRPr="00507DDF">
        <w:rPr>
          <w:sz w:val="28"/>
          <w:szCs w:val="28"/>
        </w:rPr>
        <w:t>– demand for finished products;</w:t>
      </w:r>
    </w:p>
    <w:p w:rsidR="005D2517" w:rsidRPr="00507DDF" w:rsidRDefault="005D2517" w:rsidP="005D2517">
      <w:pPr>
        <w:tabs>
          <w:tab w:val="left" w:pos="142"/>
        </w:tabs>
        <w:autoSpaceDE w:val="0"/>
        <w:autoSpaceDN w:val="0"/>
        <w:adjustRightInd w:val="0"/>
        <w:ind w:right="-425" w:firstLine="851"/>
        <w:rPr>
          <w:bCs/>
          <w:sz w:val="28"/>
          <w:szCs w:val="28"/>
        </w:rPr>
      </w:pPr>
      <m:oMath>
        <m:r>
          <m:rPr>
            <m:sty m:val="p"/>
          </m:rPr>
          <w:rPr>
            <w:rFonts w:ascii="Cambria Math"/>
            <w:sz w:val="28"/>
            <w:szCs w:val="28"/>
          </w:rPr>
          <m:t>Out</m:t>
        </m:r>
      </m:oMath>
      <w:r w:rsidRPr="00507DDF">
        <w:rPr>
          <w:sz w:val="28"/>
          <w:szCs w:val="28"/>
        </w:rPr>
        <w:t>– expected output of the main type of product;</w:t>
      </w:r>
    </w:p>
    <w:p w:rsidR="005D2517" w:rsidRPr="00507DDF" w:rsidRDefault="005D2517" w:rsidP="005D2517">
      <w:pPr>
        <w:tabs>
          <w:tab w:val="left" w:pos="142"/>
        </w:tabs>
        <w:autoSpaceDE w:val="0"/>
        <w:autoSpaceDN w:val="0"/>
        <w:adjustRightInd w:val="0"/>
        <w:ind w:right="-425" w:firstLine="851"/>
        <w:rPr>
          <w:bCs/>
          <w:sz w:val="28"/>
          <w:szCs w:val="28"/>
        </w:rPr>
      </w:pPr>
      <m:oMath>
        <m:r>
          <m:rPr>
            <m:sty m:val="p"/>
          </m:rPr>
          <w:rPr>
            <w:rFonts w:ascii="Cambria Math"/>
            <w:sz w:val="28"/>
            <w:szCs w:val="28"/>
          </w:rPr>
          <m:t>Fin</m:t>
        </m:r>
      </m:oMath>
      <w:r w:rsidRPr="00507DDF">
        <w:rPr>
          <w:sz w:val="28"/>
          <w:szCs w:val="28"/>
        </w:rPr>
        <w:t>– financial and economic situation;</w:t>
      </w:r>
    </w:p>
    <w:p w:rsidR="005D2517" w:rsidRDefault="005D2517" w:rsidP="005D2517">
      <w:pPr>
        <w:tabs>
          <w:tab w:val="left" w:pos="142"/>
        </w:tabs>
        <w:autoSpaceDE w:val="0"/>
        <w:autoSpaceDN w:val="0"/>
        <w:adjustRightInd w:val="0"/>
        <w:ind w:right="-425" w:firstLine="851"/>
        <w:rPr>
          <w:sz w:val="28"/>
          <w:szCs w:val="28"/>
        </w:rPr>
      </w:pPr>
      <m:oMath>
        <m:r>
          <m:rPr>
            <m:sty m:val="p"/>
          </m:rPr>
          <w:rPr>
            <w:rFonts w:ascii="Cambria Math"/>
            <w:sz w:val="28"/>
            <w:szCs w:val="28"/>
          </w:rPr>
          <m:t>Vak</m:t>
        </m:r>
      </m:oMath>
      <w:r w:rsidRPr="00507DDF">
        <w:rPr>
          <w:sz w:val="28"/>
          <w:szCs w:val="28"/>
        </w:rPr>
        <w:t>- the number of vacancies.</w:t>
      </w:r>
    </w:p>
    <w:p w:rsidR="005D2517" w:rsidRPr="00DF064D" w:rsidRDefault="005D2517" w:rsidP="005D2517">
      <w:pPr>
        <w:ind w:firstLine="708"/>
        <w:jc w:val="both"/>
        <w:rPr>
          <w:sz w:val="28"/>
          <w:szCs w:val="28"/>
        </w:rPr>
      </w:pPr>
    </w:p>
    <w:p w:rsidR="005D2517" w:rsidRPr="002420CF" w:rsidRDefault="005D2517" w:rsidP="005D2517">
      <w:pPr>
        <w:ind w:firstLine="708"/>
        <w:jc w:val="both"/>
        <w:rPr>
          <w:sz w:val="28"/>
          <w:szCs w:val="28"/>
        </w:rPr>
      </w:pPr>
    </w:p>
    <w:p w:rsidR="005D2517" w:rsidRDefault="005D2517" w:rsidP="005D2517">
      <w:pPr>
        <w:pStyle w:val="a7"/>
        <w:tabs>
          <w:tab w:val="left" w:pos="851"/>
        </w:tabs>
        <w:jc w:val="center"/>
        <w:rPr>
          <w:b/>
          <w:sz w:val="28"/>
          <w:szCs w:val="28"/>
        </w:rPr>
      </w:pPr>
      <w:bookmarkStart w:id="7" w:name="_Toc290980692"/>
      <w:bookmarkStart w:id="8" w:name="_Toc291487998"/>
      <w:bookmarkStart w:id="9" w:name="_Toc292449992"/>
      <w:bookmarkStart w:id="10" w:name="_Toc292869437"/>
      <w:bookmarkStart w:id="11" w:name="_Toc299120486"/>
      <w:r w:rsidRPr="00227932">
        <w:rPr>
          <w:b/>
          <w:sz w:val="28"/>
          <w:szCs w:val="28"/>
        </w:rPr>
        <w:t>Chapter 4</w:t>
      </w:r>
      <w:bookmarkEnd w:id="7"/>
      <w:bookmarkEnd w:id="8"/>
      <w:bookmarkEnd w:id="9"/>
      <w:bookmarkEnd w:id="10"/>
      <w:bookmarkEnd w:id="11"/>
      <w:r w:rsidR="00D95F03">
        <w:rPr>
          <w:b/>
          <w:sz w:val="28"/>
          <w:szCs w:val="28"/>
        </w:rPr>
        <w:t xml:space="preserve"> </w:t>
      </w:r>
      <w:r w:rsidR="00D95F03" w:rsidRPr="00D95F03">
        <w:rPr>
          <w:b/>
          <w:sz w:val="28"/>
          <w:szCs w:val="28"/>
        </w:rPr>
        <w:t>Evaluation of the composite leading indicator</w:t>
      </w:r>
    </w:p>
    <w:p w:rsidR="005D2517" w:rsidRPr="00774215" w:rsidRDefault="005D2517" w:rsidP="005D2517">
      <w:pPr>
        <w:pStyle w:val="a7"/>
        <w:tabs>
          <w:tab w:val="left" w:pos="851"/>
        </w:tabs>
        <w:rPr>
          <w:b/>
          <w:sz w:val="28"/>
          <w:szCs w:val="28"/>
        </w:rPr>
      </w:pPr>
    </w:p>
    <w:p w:rsidR="005D2517" w:rsidRPr="00507DDF" w:rsidRDefault="005D2517" w:rsidP="005D2517">
      <w:pPr>
        <w:pStyle w:val="a7"/>
        <w:numPr>
          <w:ilvl w:val="0"/>
          <w:numId w:val="2"/>
        </w:numPr>
        <w:tabs>
          <w:tab w:val="left" w:pos="851"/>
        </w:tabs>
        <w:ind w:left="0" w:firstLine="709"/>
        <w:rPr>
          <w:sz w:val="28"/>
          <w:szCs w:val="28"/>
        </w:rPr>
      </w:pPr>
      <w:r>
        <w:rPr>
          <w:sz w:val="28"/>
          <w:szCs w:val="28"/>
        </w:rPr>
        <w:t>The quality of the resulting composite leading indicator is evaluated. Quality is determined by the analysis of turning points, which implies the ability to predict the turning points of the benchmark indicator. The dynamics of the composite leading indicator and the reference series is given in Appendix 5 to this Methodology. The composite leading indicator leads the benchmark by an average of one quarter, the pivot points of the composite leading indicator signal future changes in the benchmark.</w:t>
      </w:r>
    </w:p>
    <w:p w:rsidR="005D2517" w:rsidRPr="00507DDF" w:rsidRDefault="005D2517" w:rsidP="005D2517">
      <w:pPr>
        <w:pStyle w:val="a7"/>
        <w:numPr>
          <w:ilvl w:val="0"/>
          <w:numId w:val="2"/>
        </w:numPr>
        <w:tabs>
          <w:tab w:val="left" w:pos="851"/>
        </w:tabs>
        <w:ind w:left="0" w:firstLine="709"/>
        <w:rPr>
          <w:sz w:val="28"/>
          <w:szCs w:val="28"/>
        </w:rPr>
      </w:pPr>
      <w:r w:rsidRPr="00507DDF">
        <w:rPr>
          <w:sz w:val="28"/>
          <w:szCs w:val="28"/>
        </w:rPr>
        <w:t xml:space="preserve">The analysis of turning points is carried out by calculating the average value and the median of the lead of the composite indicator relative to the benchmark indicator. </w:t>
      </w:r>
      <w:r w:rsidRPr="002420CF">
        <w:rPr>
          <w:sz w:val="28"/>
          <w:szCs w:val="28"/>
        </w:rPr>
        <w:t>Long series of data are used in the analysis to obtain statistically significant results.</w:t>
      </w:r>
    </w:p>
    <w:p w:rsidR="005D2517" w:rsidRPr="00A02791" w:rsidRDefault="005D2517" w:rsidP="005D2517">
      <w:pPr>
        <w:pStyle w:val="a7"/>
        <w:numPr>
          <w:ilvl w:val="0"/>
          <w:numId w:val="2"/>
        </w:numPr>
        <w:tabs>
          <w:tab w:val="left" w:pos="851"/>
        </w:tabs>
        <w:ind w:left="0" w:firstLine="709"/>
        <w:rPr>
          <w:sz w:val="28"/>
          <w:szCs w:val="28"/>
        </w:rPr>
      </w:pPr>
      <w:r w:rsidRPr="00A02791">
        <w:rPr>
          <w:sz w:val="28"/>
          <w:szCs w:val="28"/>
        </w:rPr>
        <w:t>Another method for assessing the quality of a composite leading indicator is correlation and regression analysis. Correlation analysis reflects the interdependence of several indicators. Regression analysis describes the relationships between dependent indicators, and describes the relationships in the equations. Regression analysis is determined by the least squares method with a deviation tending to a minimum.</w:t>
      </w:r>
    </w:p>
    <w:p w:rsidR="005D2517" w:rsidRPr="00507DDF" w:rsidRDefault="00A03CA0" w:rsidP="005D2517">
      <w:pPr>
        <w:pageBreakBefore/>
        <w:tabs>
          <w:tab w:val="left" w:pos="142"/>
        </w:tabs>
        <w:ind w:left="5387" w:right="-425"/>
        <w:jc w:val="both"/>
        <w:rPr>
          <w:sz w:val="28"/>
          <w:szCs w:val="28"/>
        </w:rPr>
      </w:pPr>
      <w:r>
        <w:rPr>
          <w:sz w:val="28"/>
          <w:szCs w:val="28"/>
        </w:rPr>
        <w:lastRenderedPageBreak/>
        <w:t xml:space="preserve">Appendix </w:t>
      </w:r>
      <w:r w:rsidR="005D2517" w:rsidRPr="00507DDF">
        <w:rPr>
          <w:sz w:val="28"/>
          <w:szCs w:val="28"/>
        </w:rPr>
        <w:t>1</w:t>
      </w:r>
    </w:p>
    <w:p w:rsidR="005D2517" w:rsidRPr="00507DDF" w:rsidRDefault="00A03CA0" w:rsidP="005D2517">
      <w:pPr>
        <w:tabs>
          <w:tab w:val="left" w:pos="142"/>
        </w:tabs>
        <w:ind w:left="5387" w:right="-2"/>
        <w:rPr>
          <w:sz w:val="28"/>
          <w:szCs w:val="28"/>
        </w:rPr>
      </w:pPr>
      <w:r w:rsidRPr="00A03CA0">
        <w:rPr>
          <w:sz w:val="28"/>
          <w:szCs w:val="28"/>
        </w:rPr>
        <w:t>to the Methodology for constructing a composite leading indicator</w:t>
      </w:r>
    </w:p>
    <w:p w:rsidR="005D2517" w:rsidRPr="00507DDF" w:rsidRDefault="005D2517" w:rsidP="005D2517">
      <w:pPr>
        <w:tabs>
          <w:tab w:val="left" w:pos="142"/>
        </w:tabs>
        <w:ind w:right="-425" w:firstLine="709"/>
        <w:jc w:val="both"/>
        <w:rPr>
          <w:sz w:val="28"/>
          <w:szCs w:val="28"/>
        </w:rPr>
      </w:pPr>
    </w:p>
    <w:p w:rsidR="005D2517" w:rsidRPr="00507DDF" w:rsidRDefault="005D2517" w:rsidP="005D2517">
      <w:pPr>
        <w:tabs>
          <w:tab w:val="left" w:pos="142"/>
        </w:tabs>
        <w:ind w:right="-425" w:firstLine="709"/>
        <w:jc w:val="both"/>
        <w:rPr>
          <w:sz w:val="28"/>
          <w:szCs w:val="28"/>
        </w:rPr>
      </w:pPr>
    </w:p>
    <w:p w:rsidR="005D2517" w:rsidRPr="00507DDF" w:rsidRDefault="005D2517" w:rsidP="005D2517">
      <w:pPr>
        <w:ind w:firstLine="709"/>
        <w:jc w:val="center"/>
        <w:rPr>
          <w:b/>
          <w:sz w:val="28"/>
          <w:szCs w:val="28"/>
        </w:rPr>
      </w:pPr>
      <w:r w:rsidRPr="00507DDF">
        <w:rPr>
          <w:b/>
          <w:sz w:val="28"/>
          <w:szCs w:val="28"/>
        </w:rPr>
        <w:t>Indicators forming the composite leading indicator</w:t>
      </w:r>
    </w:p>
    <w:p w:rsidR="005D2517" w:rsidRPr="00507DDF" w:rsidRDefault="005D2517" w:rsidP="005D2517">
      <w:pPr>
        <w:tabs>
          <w:tab w:val="left" w:pos="142"/>
        </w:tabs>
        <w:ind w:right="-425" w:firstLine="709"/>
        <w:jc w:val="both"/>
        <w:rPr>
          <w:sz w:val="28"/>
          <w:szCs w:val="28"/>
        </w:rPr>
      </w:pPr>
    </w:p>
    <w:tbl>
      <w:tblPr>
        <w:tblW w:w="9632" w:type="dxa"/>
        <w:tblInd w:w="108" w:type="dxa"/>
        <w:tblLook w:val="04A0" w:firstRow="1" w:lastRow="0" w:firstColumn="1" w:lastColumn="0" w:noHBand="0" w:noVBand="1"/>
      </w:tblPr>
      <w:tblGrid>
        <w:gridCol w:w="1060"/>
        <w:gridCol w:w="1323"/>
        <w:gridCol w:w="1480"/>
        <w:gridCol w:w="1480"/>
        <w:gridCol w:w="1461"/>
        <w:gridCol w:w="1496"/>
        <w:gridCol w:w="1332"/>
      </w:tblGrid>
      <w:tr w:rsidR="005D2517" w:rsidRPr="00507DDF" w:rsidTr="00BA38A6">
        <w:trPr>
          <w:trHeight w:val="157"/>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517" w:rsidRPr="007D45CE" w:rsidRDefault="005D2517" w:rsidP="00BA38A6">
            <w:pPr>
              <w:ind w:firstLine="83"/>
              <w:jc w:val="center"/>
              <w:rPr>
                <w:lang w:val="kk-KZ"/>
              </w:rPr>
            </w:pPr>
            <w:r w:rsidRPr="007D45CE">
              <w:rPr>
                <w:lang w:val="kk-KZ"/>
              </w:rPr>
              <w:t>Period</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GDP</w:t>
            </w:r>
          </w:p>
        </w:tc>
        <w:tc>
          <w:tcPr>
            <w:tcW w:w="5917" w:type="dxa"/>
            <w:gridSpan w:val="4"/>
            <w:tcBorders>
              <w:top w:val="single" w:sz="4" w:space="0" w:color="auto"/>
              <w:left w:val="nil"/>
              <w:bottom w:val="single" w:sz="4" w:space="0" w:color="auto"/>
              <w:right w:val="single" w:sz="4" w:space="0" w:color="auto"/>
            </w:tcBorders>
            <w:shd w:val="clear" w:color="auto" w:fill="auto"/>
            <w:noWrap/>
            <w:vAlign w:val="center"/>
            <w:hideMark/>
          </w:tcPr>
          <w:p w:rsidR="005D2517" w:rsidRPr="007D45CE" w:rsidRDefault="005D2517" w:rsidP="00BA38A6">
            <w:pPr>
              <w:jc w:val="center"/>
              <w:rPr>
                <w:lang w:val="kk-KZ"/>
              </w:rPr>
            </w:pPr>
            <w:r w:rsidRPr="007D45CE">
              <w:rPr>
                <w:lang w:val="kk-KZ"/>
              </w:rPr>
              <w:t>Business survey data</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jc w:val="center"/>
              <w:rPr>
                <w:lang w:val="kk-KZ"/>
              </w:rPr>
            </w:pPr>
            <w:r w:rsidRPr="007D45CE">
              <w:rPr>
                <w:lang w:val="kk-KZ"/>
              </w:rPr>
              <w:t>Number of vacancies, thousand units</w:t>
            </w:r>
          </w:p>
        </w:tc>
      </w:tr>
      <w:tr w:rsidR="005D2517" w:rsidRPr="00507DDF" w:rsidTr="00BA38A6">
        <w:trPr>
          <w:trHeight w:val="756"/>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D2517" w:rsidRPr="007D45CE" w:rsidRDefault="005D2517" w:rsidP="00BA38A6">
            <w:pPr>
              <w:ind w:firstLine="83"/>
              <w:jc w:val="center"/>
              <w:rPr>
                <w:lang w:val="kk-KZ"/>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D2517" w:rsidRPr="007D45CE" w:rsidRDefault="005D2517" w:rsidP="00BA38A6">
            <w:pPr>
              <w:ind w:firstLine="83"/>
              <w:jc w:val="center"/>
              <w:rPr>
                <w:lang w:val="kk-KZ"/>
              </w:rPr>
            </w:pP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Number of employed workers</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Total demand for products</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Release of the main product</w:t>
            </w:r>
          </w:p>
        </w:tc>
        <w:tc>
          <w:tcPr>
            <w:tcW w:w="1496"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Financial and economic situation</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D2517" w:rsidRPr="007D45CE" w:rsidRDefault="005D2517" w:rsidP="00BA38A6">
            <w:pPr>
              <w:ind w:firstLine="83"/>
              <w:jc w:val="center"/>
              <w:rPr>
                <w:lang w:val="kk-KZ"/>
              </w:rPr>
            </w:pPr>
          </w:p>
        </w:tc>
      </w:tr>
      <w:tr w:rsidR="005D2517" w:rsidRPr="00507DDF" w:rsidTr="00BA38A6">
        <w:trPr>
          <w:trHeight w:val="103"/>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2006q1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107.90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6.00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19.33</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28.00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24.33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16.10</w:t>
            </w:r>
          </w:p>
        </w:tc>
      </w:tr>
      <w:tr w:rsidR="005D2517" w:rsidRPr="00507DDF" w:rsidTr="00BA38A6">
        <w:trPr>
          <w:trHeight w:val="149"/>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2006q2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109.70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8.67</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22.00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28.00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25.67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17.70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2006q3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110.50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5.33</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17.00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3"/>
              <w:jc w:val="center"/>
              <w:rPr>
                <w:lang w:val="kk-KZ"/>
              </w:rPr>
            </w:pPr>
            <w:r w:rsidRPr="007D45CE">
              <w:rPr>
                <w:lang w:val="kk-KZ"/>
              </w:rPr>
              <w:t>25.67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3"/>
              <w:jc w:val="center"/>
              <w:rPr>
                <w:lang w:val="kk-KZ"/>
              </w:rPr>
            </w:pPr>
            <w:r w:rsidRPr="007D45CE">
              <w:rPr>
                <w:lang w:val="kk-KZ"/>
              </w:rPr>
              <w:t>21.00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7D45CE" w:rsidRDefault="005D2517" w:rsidP="00BA38A6">
            <w:pPr>
              <w:ind w:firstLine="83"/>
              <w:jc w:val="center"/>
              <w:rPr>
                <w:lang w:val="kk-KZ"/>
              </w:rPr>
            </w:pPr>
            <w:r w:rsidRPr="007D45CE">
              <w:rPr>
                <w:lang w:val="kk-KZ"/>
              </w:rPr>
              <w:t>18.20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2006q4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110.70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1.67</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12.33</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15.33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17.33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16.60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2007q1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111.70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7.33</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16.67</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25.33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24.00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22.20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2007q2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110.80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7.33</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18.00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24.33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25.33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22.10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2007q3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109.90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8.00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19.00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25.67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21.00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24.00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2007q4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108.90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1.67</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12.33</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17.00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17.67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2008q1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5.67</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16.00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19.67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22.00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27.80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2008q2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106.00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5.33</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15.67</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20.33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23.00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26.80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2008q3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103.90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11.67</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19.33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17.33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27.80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2008q4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103.30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-7.33</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4.67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23.20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2009q1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98.00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-3.33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5.00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5.00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18.90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2009q2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97.50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-2.67</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18.20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2009q3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98.20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17.80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2009q4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101.20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-0.67</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15.70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2010q1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105.80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8.00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16.60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2010q2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107.20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4.67</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18.10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2010q3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107.40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17.00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17.90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2010q4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107.30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7.67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16.40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2011q1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106.30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16.67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17.90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2011q2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107.40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19.00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18.70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2011q3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107.20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5.00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24.33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19.00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2011q4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107.50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7.33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3.67</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19.20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2012q1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105.20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4.33</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15.67</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21.80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2012q2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105.10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7.67</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14.33</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20.00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16.33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22.70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2012q3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5.67</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20.33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12.33</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2012q4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6.67</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10.33</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5.00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25.60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2013q1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104.30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7.00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12.00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18.00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21.00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2013q2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6.00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13.00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24.30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2013q3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105.70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3.00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13.00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19.00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13.00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21.10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2013q4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106.00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8.00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22.50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2014q1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104.10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11.00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19.00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14.00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2014q2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103.90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4.00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15.00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21.00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23.10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2014q3</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104.10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3.00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13.00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20.00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9.00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23.40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2014q4</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104.40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-1.00</w:t>
            </w:r>
          </w:p>
        </w:tc>
        <w:tc>
          <w:tcPr>
            <w:tcW w:w="1480"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1.00</w:t>
            </w:r>
          </w:p>
        </w:tc>
        <w:tc>
          <w:tcPr>
            <w:tcW w:w="1461"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7.00</w:t>
            </w:r>
          </w:p>
        </w:tc>
        <w:tc>
          <w:tcPr>
            <w:tcW w:w="1496"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0.00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25.20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2015q1</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102.30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8.00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14.00</w:t>
            </w:r>
          </w:p>
        </w:tc>
        <w:tc>
          <w:tcPr>
            <w:tcW w:w="1496"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7.00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25.90</w:t>
            </w:r>
          </w:p>
        </w:tc>
      </w:tr>
      <w:tr w:rsidR="005D2517" w:rsidRPr="00507DDF" w:rsidTr="00BA38A6">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2015q2</w:t>
            </w:r>
          </w:p>
        </w:tc>
        <w:tc>
          <w:tcPr>
            <w:tcW w:w="1323" w:type="dxa"/>
            <w:tcBorders>
              <w:top w:val="nil"/>
              <w:left w:val="nil"/>
              <w:bottom w:val="single" w:sz="4" w:space="0" w:color="auto"/>
              <w:right w:val="single" w:sz="4" w:space="0" w:color="auto"/>
            </w:tcBorders>
            <w:shd w:val="clear" w:color="auto" w:fill="auto"/>
            <w:hideMark/>
          </w:tcPr>
          <w:p w:rsidR="005D2517" w:rsidRPr="007D45CE" w:rsidRDefault="005D2517" w:rsidP="00BA38A6">
            <w:pPr>
              <w:ind w:firstLine="84"/>
              <w:jc w:val="center"/>
              <w:rPr>
                <w:color w:val="000000"/>
              </w:rPr>
            </w:pPr>
            <w:r w:rsidRPr="007D45CE">
              <w:rPr>
                <w:color w:val="000000"/>
              </w:rPr>
              <w:t>101.70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-1.00</w:t>
            </w:r>
          </w:p>
        </w:tc>
        <w:tc>
          <w:tcPr>
            <w:tcW w:w="1480"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10.00</w:t>
            </w:r>
          </w:p>
        </w:tc>
        <w:tc>
          <w:tcPr>
            <w:tcW w:w="1461"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17.00</w:t>
            </w:r>
          </w:p>
        </w:tc>
        <w:tc>
          <w:tcPr>
            <w:tcW w:w="1496" w:type="dxa"/>
            <w:tcBorders>
              <w:top w:val="nil"/>
              <w:left w:val="nil"/>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7.00</w:t>
            </w:r>
          </w:p>
        </w:tc>
        <w:tc>
          <w:tcPr>
            <w:tcW w:w="1332"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25.30</w:t>
            </w:r>
          </w:p>
        </w:tc>
      </w:tr>
      <w:tr w:rsidR="005D2517" w:rsidRPr="007D45CE" w:rsidTr="00BA38A6">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4"/>
              <w:jc w:val="center"/>
              <w:rPr>
                <w:color w:val="000000"/>
              </w:rPr>
            </w:pPr>
            <w:r w:rsidRPr="007D45CE">
              <w:rPr>
                <w:color w:val="000000"/>
              </w:rPr>
              <w:t>2015q3</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4"/>
              <w:jc w:val="center"/>
              <w:rPr>
                <w:color w:val="000000"/>
              </w:rPr>
            </w:pPr>
            <w:r w:rsidRPr="007D45CE">
              <w:rPr>
                <w:color w:val="000000"/>
              </w:rPr>
              <w:t>100.20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-3.00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6.10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15.80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2.00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24.20</w:t>
            </w:r>
          </w:p>
        </w:tc>
      </w:tr>
      <w:tr w:rsidR="005D2517" w:rsidRPr="007D45CE" w:rsidTr="00BA38A6">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4"/>
              <w:jc w:val="center"/>
              <w:rPr>
                <w:color w:val="000000"/>
              </w:rPr>
            </w:pPr>
            <w:r w:rsidRPr="007D45CE">
              <w:rPr>
                <w:color w:val="000000"/>
              </w:rPr>
              <w:t>2015q4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7D45CE" w:rsidRDefault="005D2517" w:rsidP="00BA38A6">
            <w:pPr>
              <w:ind w:firstLine="84"/>
              <w:jc w:val="center"/>
              <w:rPr>
                <w:color w:val="000000"/>
              </w:rPr>
            </w:pPr>
            <w:r w:rsidRPr="007D45CE">
              <w:rPr>
                <w:color w:val="000000"/>
              </w:rPr>
              <w:t>102.00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-4.20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-1.90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1.50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7D45CE" w:rsidRDefault="005D2517" w:rsidP="00BA38A6">
            <w:pPr>
              <w:ind w:firstLine="84"/>
              <w:jc w:val="center"/>
              <w:rPr>
                <w:color w:val="000000"/>
              </w:rPr>
            </w:pPr>
            <w:r w:rsidRPr="007D45CE">
              <w:rPr>
                <w:color w:val="000000"/>
              </w:rPr>
              <w:t>-4.80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ind w:firstLine="84"/>
              <w:jc w:val="center"/>
              <w:rPr>
                <w:color w:val="000000"/>
              </w:rPr>
            </w:pPr>
            <w:r w:rsidRPr="00507DDF">
              <w:rPr>
                <w:color w:val="000000"/>
              </w:rPr>
              <w:t>22.10</w:t>
            </w:r>
          </w:p>
        </w:tc>
      </w:tr>
    </w:tbl>
    <w:p w:rsidR="005D2517" w:rsidRPr="00507DDF" w:rsidRDefault="00D95F03" w:rsidP="005D2517">
      <w:pPr>
        <w:pageBreakBefore/>
        <w:tabs>
          <w:tab w:val="left" w:pos="142"/>
        </w:tabs>
        <w:ind w:left="5387" w:right="-425"/>
        <w:jc w:val="both"/>
        <w:rPr>
          <w:sz w:val="28"/>
          <w:szCs w:val="28"/>
        </w:rPr>
      </w:pPr>
      <w:r>
        <w:rPr>
          <w:sz w:val="28"/>
          <w:szCs w:val="28"/>
        </w:rPr>
        <w:lastRenderedPageBreak/>
        <w:t>A</w:t>
      </w:r>
      <w:bookmarkStart w:id="12" w:name="_GoBack"/>
      <w:bookmarkEnd w:id="12"/>
      <w:r w:rsidR="00A03CA0">
        <w:rPr>
          <w:sz w:val="28"/>
          <w:szCs w:val="28"/>
        </w:rPr>
        <w:t xml:space="preserve">ppendix </w:t>
      </w:r>
      <w:r w:rsidR="005D2517" w:rsidRPr="00507DDF">
        <w:rPr>
          <w:sz w:val="28"/>
          <w:szCs w:val="28"/>
        </w:rPr>
        <w:t>2</w:t>
      </w:r>
    </w:p>
    <w:p w:rsidR="005D2517" w:rsidRPr="00507DDF" w:rsidRDefault="00A03CA0" w:rsidP="005D2517">
      <w:pPr>
        <w:tabs>
          <w:tab w:val="left" w:pos="142"/>
        </w:tabs>
        <w:ind w:left="5387" w:right="-2"/>
        <w:rPr>
          <w:sz w:val="28"/>
          <w:szCs w:val="28"/>
        </w:rPr>
      </w:pPr>
      <w:r w:rsidRPr="00A03CA0">
        <w:rPr>
          <w:sz w:val="28"/>
          <w:szCs w:val="28"/>
        </w:rPr>
        <w:t>to the Methodology for constructing a composite leading indicator</w:t>
      </w:r>
    </w:p>
    <w:p w:rsidR="005D2517" w:rsidRPr="00507DDF" w:rsidRDefault="005D2517" w:rsidP="005D2517">
      <w:pPr>
        <w:ind w:firstLine="709"/>
        <w:jc w:val="center"/>
        <w:rPr>
          <w:sz w:val="28"/>
          <w:szCs w:val="28"/>
        </w:rPr>
      </w:pPr>
    </w:p>
    <w:p w:rsidR="005D2517" w:rsidRPr="00507DDF" w:rsidRDefault="005D2517" w:rsidP="005D2517">
      <w:pPr>
        <w:ind w:firstLine="709"/>
        <w:jc w:val="center"/>
        <w:rPr>
          <w:sz w:val="28"/>
          <w:szCs w:val="28"/>
        </w:rPr>
      </w:pPr>
    </w:p>
    <w:p w:rsidR="005D2517" w:rsidRPr="00507DDF" w:rsidRDefault="005D2517" w:rsidP="005D2517">
      <w:pPr>
        <w:ind w:firstLine="709"/>
        <w:jc w:val="center"/>
        <w:rPr>
          <w:b/>
          <w:sz w:val="28"/>
          <w:szCs w:val="28"/>
        </w:rPr>
      </w:pPr>
      <w:r w:rsidRPr="00507DDF">
        <w:rPr>
          <w:b/>
          <w:sz w:val="28"/>
          <w:szCs w:val="28"/>
        </w:rPr>
        <w:t>Seasonally adjusted time series</w:t>
      </w:r>
    </w:p>
    <w:p w:rsidR="005D2517" w:rsidRPr="00507DDF" w:rsidRDefault="005D2517" w:rsidP="005D2517">
      <w:pPr>
        <w:ind w:firstLine="709"/>
        <w:jc w:val="center"/>
        <w:rPr>
          <w:sz w:val="28"/>
          <w:szCs w:val="28"/>
        </w:rPr>
      </w:pPr>
    </w:p>
    <w:p w:rsidR="005D2517" w:rsidRPr="00507DDF" w:rsidRDefault="005D2517" w:rsidP="005D2517">
      <w:pPr>
        <w:tabs>
          <w:tab w:val="left" w:pos="142"/>
        </w:tabs>
        <w:ind w:right="-2"/>
        <w:rPr>
          <w:sz w:val="28"/>
          <w:szCs w:val="28"/>
        </w:rPr>
      </w:pPr>
      <w:r w:rsidRPr="009801D7">
        <w:rPr>
          <w:noProof/>
          <w:sz w:val="28"/>
          <w:szCs w:val="28"/>
          <w:lang w:val="ru-RU"/>
        </w:rPr>
        <w:drawing>
          <wp:inline distT="0" distB="0" distL="0" distR="0">
            <wp:extent cx="6089650" cy="30988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9650" cy="3098800"/>
                    </a:xfrm>
                    <a:prstGeom prst="rect">
                      <a:avLst/>
                    </a:prstGeom>
                    <a:noFill/>
                    <a:ln>
                      <a:noFill/>
                    </a:ln>
                  </pic:spPr>
                </pic:pic>
              </a:graphicData>
            </a:graphic>
          </wp:inline>
        </w:drawing>
      </w:r>
    </w:p>
    <w:p w:rsidR="005D2517" w:rsidRPr="00507DDF" w:rsidRDefault="00A03CA0" w:rsidP="005D2517">
      <w:pPr>
        <w:pageBreakBefore/>
        <w:tabs>
          <w:tab w:val="left" w:pos="142"/>
        </w:tabs>
        <w:ind w:left="5387" w:right="-425"/>
        <w:jc w:val="both"/>
        <w:rPr>
          <w:sz w:val="28"/>
          <w:szCs w:val="28"/>
        </w:rPr>
      </w:pPr>
      <w:r>
        <w:rPr>
          <w:sz w:val="28"/>
          <w:szCs w:val="28"/>
        </w:rPr>
        <w:lastRenderedPageBreak/>
        <w:t xml:space="preserve">Appendix </w:t>
      </w:r>
      <w:r w:rsidR="005D2517" w:rsidRPr="00507DDF">
        <w:rPr>
          <w:sz w:val="28"/>
          <w:szCs w:val="28"/>
        </w:rPr>
        <w:t>3</w:t>
      </w:r>
    </w:p>
    <w:p w:rsidR="005D2517" w:rsidRPr="00507DDF" w:rsidRDefault="00A03CA0" w:rsidP="005D2517">
      <w:pPr>
        <w:tabs>
          <w:tab w:val="left" w:pos="142"/>
        </w:tabs>
        <w:ind w:left="5387" w:right="-2"/>
        <w:rPr>
          <w:sz w:val="28"/>
          <w:szCs w:val="28"/>
        </w:rPr>
      </w:pPr>
      <w:r w:rsidRPr="00A03CA0">
        <w:rPr>
          <w:sz w:val="28"/>
          <w:szCs w:val="28"/>
        </w:rPr>
        <w:t>to the Methodology for constructing a composite leading indicator</w:t>
      </w:r>
    </w:p>
    <w:p w:rsidR="005D2517" w:rsidRPr="00507DDF" w:rsidRDefault="005D2517" w:rsidP="005D2517">
      <w:pPr>
        <w:ind w:firstLine="709"/>
        <w:jc w:val="center"/>
        <w:rPr>
          <w:sz w:val="28"/>
          <w:szCs w:val="28"/>
        </w:rPr>
      </w:pPr>
    </w:p>
    <w:p w:rsidR="005D2517" w:rsidRPr="00507DDF" w:rsidRDefault="005D2517" w:rsidP="005D2517">
      <w:pPr>
        <w:ind w:firstLine="709"/>
        <w:jc w:val="center"/>
        <w:rPr>
          <w:sz w:val="28"/>
          <w:szCs w:val="28"/>
        </w:rPr>
      </w:pPr>
    </w:p>
    <w:p w:rsidR="005D2517" w:rsidRPr="007B5892" w:rsidRDefault="005D2517" w:rsidP="005D2517">
      <w:pPr>
        <w:ind w:firstLine="709"/>
        <w:jc w:val="center"/>
        <w:rPr>
          <w:b/>
          <w:sz w:val="28"/>
          <w:szCs w:val="28"/>
        </w:rPr>
      </w:pPr>
      <w:r w:rsidRPr="00507DDF">
        <w:rPr>
          <w:b/>
          <w:sz w:val="28"/>
          <w:szCs w:val="28"/>
        </w:rPr>
        <w:t xml:space="preserve">Time Series Trend Extracted by </w:t>
      </w:r>
      <w:r>
        <w:rPr>
          <w:b/>
          <w:sz w:val="28"/>
          <w:szCs w:val="28"/>
        </w:rPr>
        <w:br/>
      </w:r>
      <w:r w:rsidRPr="007B5892">
        <w:rPr>
          <w:b/>
          <w:sz w:val="28"/>
          <w:szCs w:val="28"/>
        </w:rPr>
        <w:t>the Hodrick-Prescott Method</w:t>
      </w:r>
    </w:p>
    <w:p w:rsidR="005D2517" w:rsidRPr="00507DDF" w:rsidRDefault="005D2517" w:rsidP="005D2517">
      <w:pPr>
        <w:ind w:firstLine="709"/>
        <w:jc w:val="center"/>
        <w:rPr>
          <w:sz w:val="28"/>
          <w:szCs w:val="28"/>
        </w:rPr>
      </w:pPr>
    </w:p>
    <w:tbl>
      <w:tblPr>
        <w:tblW w:w="9644" w:type="dxa"/>
        <w:tblInd w:w="103" w:type="dxa"/>
        <w:tblLook w:val="04A0" w:firstRow="1" w:lastRow="0" w:firstColumn="1" w:lastColumn="0" w:noHBand="0" w:noVBand="1"/>
      </w:tblPr>
      <w:tblGrid>
        <w:gridCol w:w="1616"/>
        <w:gridCol w:w="1224"/>
        <w:gridCol w:w="1312"/>
        <w:gridCol w:w="1382"/>
        <w:gridCol w:w="1417"/>
        <w:gridCol w:w="1496"/>
        <w:gridCol w:w="1197"/>
      </w:tblGrid>
      <w:tr w:rsidR="005D2517" w:rsidRPr="00507DDF" w:rsidTr="00BA38A6">
        <w:trPr>
          <w:trHeight w:val="270"/>
          <w:tblHeader/>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Period</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GDP</w:t>
            </w:r>
          </w:p>
        </w:tc>
        <w:tc>
          <w:tcPr>
            <w:tcW w:w="5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rPr>
                <w:color w:val="000000"/>
              </w:rPr>
            </w:pPr>
            <w:r w:rsidRPr="00507DDF">
              <w:rPr>
                <w:color w:val="000000"/>
              </w:rPr>
              <w:t>Business survey data</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Number of vacancies</w:t>
            </w:r>
          </w:p>
        </w:tc>
      </w:tr>
      <w:tr w:rsidR="005D2517" w:rsidRPr="00507DDF" w:rsidTr="00BA38A6">
        <w:trPr>
          <w:trHeight w:val="825"/>
          <w:tblHeader/>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pPr>
              <w:rPr>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Number of employed workers</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Total demand for products</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Release of the main product</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Financial and economic situation</w:t>
            </w: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tc>
      </w:tr>
      <w:tr w:rsidR="005D2517" w:rsidRPr="00507DDF" w:rsidTr="00BA38A6">
        <w:trPr>
          <w:trHeight w:val="270"/>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108.3</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105.3</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120.2</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128.7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123.7</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115.9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109.5</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105.2</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118.9</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125.4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122.3</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110.3</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105.1</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117.5</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122.1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111.0</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105.5</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116.9</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121.6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121.6</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118.7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111.4</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105.8</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116.6</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123.1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122.8</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120.9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111.0</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106.0</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116.1</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122.7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122.2</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122.3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109.8</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106.4</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116.3</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122.1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121.3</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108.7</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105.9</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117.0</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121.8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121.4</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124.5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107.3</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104.6</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116.2</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120.6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121.4</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126.0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105.8</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103.2</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113.3</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118.3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120.1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127.0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104.0</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100.1</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109.3</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115.1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116.6</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126.7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101.4</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96.7</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104.8</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109.9</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110.4</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124.2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98.7</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95.2</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101.7</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104.9</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120.4</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97.3</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95.8</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102.3</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98.3</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98.2</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104.9</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107.2</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101.1</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101.2</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107.0</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116.6</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104.8</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102.8</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108.5</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114.2</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111.5</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116.8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107.1</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103.2</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109.3</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111.8</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117.4</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107.4</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103.5</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109.9</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112.4</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107.0</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103.9</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110.6</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114.3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113.2</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106.9</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104.4</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111.7</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113.0</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117.7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107.2</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104.7</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112.1</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117.8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112.0</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118.3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107.3</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104.4</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112.2</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117.9</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110.5</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118.9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106.8</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103.9</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112.1</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115.8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109.7</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119.9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105.9</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104.0</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111.8</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115.3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111.5</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121.3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105.2</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104.7</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111.6</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122.9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104.8</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105.3</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112.3</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117.1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112.7</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124.9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104.6</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105.5</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112.8</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117.8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113.0</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125.8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104.8</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105.3</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111.4</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116.2</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113.6</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125.1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105.2</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104.4</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109.4</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112.9</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105.5</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103.2</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108.2</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112.9</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105.3</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102.7</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108.7</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114.0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113.1</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122.8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104.7</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102.6</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110.2</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111.0</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104.2</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102.7</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111.4</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117.9</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108.8</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103.9</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102.8</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110.2</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116.5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107.5</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123.9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103.6</w:t>
            </w:r>
          </w:p>
        </w:tc>
        <w:tc>
          <w:tcPr>
            <w:tcW w:w="131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101.7</w:t>
            </w:r>
          </w:p>
        </w:tc>
        <w:tc>
          <w:tcPr>
            <w:tcW w:w="1382"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108.1</w:t>
            </w:r>
          </w:p>
        </w:tc>
        <w:tc>
          <w:tcPr>
            <w:tcW w:w="1417"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114.7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105.7</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125.1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2015q1</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102.9</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99.6</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107.1</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113.7</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104.6</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125.5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2015q2</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101.9</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97.8</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106.0</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113.2</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104.2</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125.3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lastRenderedPageBreak/>
              <w:t>2015q3</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101.1</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97.4</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104.7</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112.0</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102.2</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124.2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2015q4</w:t>
            </w:r>
          </w:p>
        </w:tc>
        <w:tc>
          <w:tcPr>
            <w:tcW w:w="1224"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100.3</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97.8</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103.9</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109.7</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99.7</w:t>
            </w:r>
          </w:p>
        </w:tc>
        <w:tc>
          <w:tcPr>
            <w:tcW w:w="1197"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pPr>
            <w:r w:rsidRPr="00507DDF">
              <w:t>122.5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Average</w:t>
            </w:r>
          </w:p>
        </w:tc>
        <w:tc>
          <w:tcPr>
            <w:tcW w:w="1224"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105.3</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102.7</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110.8</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116.1</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112.8</w:t>
            </w:r>
          </w:p>
        </w:tc>
        <w:tc>
          <w:tcPr>
            <w:tcW w:w="1197"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121.6</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Standard deviation</w:t>
            </w:r>
          </w:p>
        </w:tc>
        <w:tc>
          <w:tcPr>
            <w:tcW w:w="1224"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3.5</w:t>
            </w:r>
          </w:p>
        </w:tc>
        <w:tc>
          <w:tcPr>
            <w:tcW w:w="131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3.1</w:t>
            </w:r>
          </w:p>
        </w:tc>
        <w:tc>
          <w:tcPr>
            <w:tcW w:w="1382"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4.6</w:t>
            </w:r>
          </w:p>
        </w:tc>
        <w:tc>
          <w:tcPr>
            <w:tcW w:w="1417"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5.0</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6.3</w:t>
            </w:r>
          </w:p>
        </w:tc>
        <w:tc>
          <w:tcPr>
            <w:tcW w:w="1197"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3.4</w:t>
            </w:r>
          </w:p>
        </w:tc>
      </w:tr>
    </w:tbl>
    <w:p w:rsidR="005D2517" w:rsidRPr="00507DDF" w:rsidRDefault="005D2517" w:rsidP="005D2517">
      <w:pPr>
        <w:jc w:val="center"/>
        <w:rPr>
          <w:sz w:val="28"/>
          <w:szCs w:val="28"/>
        </w:rPr>
      </w:pPr>
    </w:p>
    <w:p w:rsidR="005D2517" w:rsidRPr="00507DDF" w:rsidRDefault="00A03CA0" w:rsidP="005D2517">
      <w:pPr>
        <w:pageBreakBefore/>
        <w:tabs>
          <w:tab w:val="left" w:pos="142"/>
        </w:tabs>
        <w:ind w:left="5387" w:right="-425"/>
        <w:jc w:val="both"/>
        <w:rPr>
          <w:sz w:val="28"/>
          <w:szCs w:val="28"/>
        </w:rPr>
      </w:pPr>
      <w:r>
        <w:rPr>
          <w:sz w:val="28"/>
          <w:szCs w:val="28"/>
        </w:rPr>
        <w:lastRenderedPageBreak/>
        <w:t xml:space="preserve">Appendix </w:t>
      </w:r>
      <w:r w:rsidR="005D2517" w:rsidRPr="00507DDF">
        <w:rPr>
          <w:sz w:val="28"/>
          <w:szCs w:val="28"/>
        </w:rPr>
        <w:t>4</w:t>
      </w:r>
    </w:p>
    <w:p w:rsidR="005D2517" w:rsidRPr="00507DDF" w:rsidRDefault="00A03CA0" w:rsidP="005D2517">
      <w:pPr>
        <w:tabs>
          <w:tab w:val="left" w:pos="142"/>
        </w:tabs>
        <w:ind w:left="5387" w:right="-2"/>
        <w:rPr>
          <w:sz w:val="28"/>
          <w:szCs w:val="28"/>
        </w:rPr>
      </w:pPr>
      <w:r w:rsidRPr="00A03CA0">
        <w:rPr>
          <w:sz w:val="28"/>
          <w:szCs w:val="28"/>
        </w:rPr>
        <w:t>to the Methodology for constructing a composite leading indicator</w:t>
      </w:r>
    </w:p>
    <w:p w:rsidR="005D2517" w:rsidRPr="00507DDF" w:rsidRDefault="005D2517" w:rsidP="005D2517">
      <w:pPr>
        <w:ind w:firstLine="709"/>
        <w:jc w:val="center"/>
        <w:rPr>
          <w:sz w:val="28"/>
          <w:szCs w:val="28"/>
        </w:rPr>
      </w:pPr>
    </w:p>
    <w:p w:rsidR="005D2517" w:rsidRPr="00507DDF" w:rsidRDefault="005D2517" w:rsidP="005D2517">
      <w:pPr>
        <w:ind w:firstLine="709"/>
        <w:jc w:val="center"/>
        <w:rPr>
          <w:sz w:val="28"/>
          <w:szCs w:val="28"/>
        </w:rPr>
      </w:pPr>
    </w:p>
    <w:p w:rsidR="005D2517" w:rsidRPr="00507DDF" w:rsidRDefault="005D2517" w:rsidP="005D2517">
      <w:pPr>
        <w:ind w:firstLine="709"/>
        <w:jc w:val="center"/>
        <w:rPr>
          <w:b/>
          <w:sz w:val="28"/>
          <w:szCs w:val="28"/>
        </w:rPr>
      </w:pPr>
      <w:r w:rsidRPr="00507DDF">
        <w:rPr>
          <w:b/>
          <w:sz w:val="28"/>
          <w:szCs w:val="28"/>
        </w:rPr>
        <w:t>Normalized Time Series</w:t>
      </w:r>
    </w:p>
    <w:p w:rsidR="005D2517" w:rsidRPr="00507DDF" w:rsidRDefault="005D2517" w:rsidP="005D2517">
      <w:pPr>
        <w:ind w:firstLine="709"/>
        <w:jc w:val="center"/>
        <w:rPr>
          <w:sz w:val="28"/>
          <w:szCs w:val="28"/>
        </w:rPr>
      </w:pPr>
    </w:p>
    <w:tbl>
      <w:tblPr>
        <w:tblW w:w="9576" w:type="dxa"/>
        <w:tblInd w:w="108" w:type="dxa"/>
        <w:tblLook w:val="04A0" w:firstRow="1" w:lastRow="0" w:firstColumn="1" w:lastColumn="0" w:noHBand="0" w:noVBand="1"/>
      </w:tblPr>
      <w:tblGrid>
        <w:gridCol w:w="1616"/>
        <w:gridCol w:w="936"/>
        <w:gridCol w:w="1418"/>
        <w:gridCol w:w="1381"/>
        <w:gridCol w:w="1453"/>
        <w:gridCol w:w="1496"/>
        <w:gridCol w:w="1276"/>
      </w:tblGrid>
      <w:tr w:rsidR="005D2517" w:rsidRPr="00507DDF" w:rsidTr="00BA38A6">
        <w:trPr>
          <w:trHeight w:val="270"/>
          <w:tblHeader/>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Period</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GDP</w:t>
            </w:r>
          </w:p>
        </w:tc>
        <w:tc>
          <w:tcPr>
            <w:tcW w:w="574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rPr>
                <w:color w:val="000000"/>
              </w:rPr>
            </w:pPr>
            <w:r w:rsidRPr="00507DDF">
              <w:rPr>
                <w:color w:val="000000"/>
              </w:rPr>
              <w:t>Business survey data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Number of vacancies</w:t>
            </w:r>
          </w:p>
        </w:tc>
      </w:tr>
      <w:tr w:rsidR="005D2517" w:rsidRPr="00507DDF" w:rsidTr="00BA38A6">
        <w:trPr>
          <w:trHeight w:val="825"/>
          <w:tblHeader/>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pPr>
              <w:rPr>
                <w:b/>
                <w:bCs/>
                <w:color w:val="00000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Number of employed workers</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Total demand for products</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Release of the main product</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Financial and economic situation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2517" w:rsidRPr="00507DDF" w:rsidRDefault="005D2517" w:rsidP="00BA38A6"/>
        </w:tc>
      </w:tr>
      <w:tr w:rsidR="005D2517" w:rsidRPr="00507DDF" w:rsidTr="00BA38A6">
        <w:trPr>
          <w:trHeight w:val="270"/>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0.85</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0.82</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2.05</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2.54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1.72</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-1.67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1.21</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0.80</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1.78</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1.88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1.51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-1.33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1.44</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0.76</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1.46</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1.32</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-1.19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2006q4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1.63</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0.90</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1.32</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1.39</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-0.83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1.76</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1.01</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1.28</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1.41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1.58</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-0.19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1.64</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1.06</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1.16</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1.49</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0.22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1.30</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1.18</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1.19</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1.35</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0.41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2007q4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0.97</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1.01</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1.36</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1.36</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0.86</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0.58</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0.62</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1.18</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0.91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1.36</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1.30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0.15</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0.15</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0.55</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0.44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1.15</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1.58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-0.37</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-0.85</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-0.34</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-0.21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1.51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2008q4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-1.13</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-1.94</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-1.32</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-1.24</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-0.37</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0.78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-1.91</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-2.42</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-2.00</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-2.16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-1.25</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-0.35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-2.29</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-2.23</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-1.88</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-2.15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-1.38</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-1.08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-2.03</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-1.46</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-1.30</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-1.38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-0.89</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-1.30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2009q4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-1.20</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-0.48</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-0.85</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-0.43</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-1.46</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-0.15</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0.04</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-0.51</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-1.39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0.50</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0.17</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-0.34</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-0.16</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-1.20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0.59</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0.26</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-0.21</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-0.62</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-0.06</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-1.18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2010q4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0.48</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0.39</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-0.04</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0.07</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-1.25</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0.46</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0.53</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0.18</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0.00</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0.04</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-1.12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0.54</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0.65</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0.27</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-0.12</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-0.94</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0.57</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0.56</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0.30</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0.37</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-0.37</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-0.79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2011q4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0.43</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0.39</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0.28</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-0.50</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-0.48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0.17</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0.41</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0.21</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-0.09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-0.04</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0.65</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0.17</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0.05</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0.41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-0.16</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0.83</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0.31</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0.99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2012q4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-0.20</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0.89</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0.43</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0.35</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0.04</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1.23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-0.15</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0.85</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0.13</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0.13</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1.03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-0.02</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0.53</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-0.31</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-0.59</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0.02</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0.68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0.05</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0.16</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-0.58</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-0.79</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0.02</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0.42</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2013q4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0.00</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0.01</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-0.47</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-0.41</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0.05</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0.37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-0.17</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-0.02</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-0.13</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0.13</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-0.29</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0.48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-0.32</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0.00</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0.13</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0.36</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-0.63</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0.50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2014q3</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-0.40</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0.02</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-0.14</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0.08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-0.84</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0.69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2014q4</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-0.48</w:t>
            </w:r>
          </w:p>
        </w:tc>
        <w:tc>
          <w:tcPr>
            <w:tcW w:w="1418"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-0.32</w:t>
            </w:r>
          </w:p>
        </w:tc>
        <w:tc>
          <w:tcPr>
            <w:tcW w:w="1381"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-0.59</w:t>
            </w:r>
          </w:p>
        </w:tc>
        <w:tc>
          <w:tcPr>
            <w:tcW w:w="1453"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-0.28</w:t>
            </w:r>
          </w:p>
        </w:tc>
        <w:tc>
          <w:tcPr>
            <w:tcW w:w="149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-1.11</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1.03</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2015q1</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-0.68</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-1.00</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-0.81</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-0.48</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-1.30</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1.17</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pPr>
              <w:rPr>
                <w:color w:val="000000"/>
              </w:rPr>
            </w:pPr>
            <w:r w:rsidRPr="00507DDF">
              <w:rPr>
                <w:color w:val="000000"/>
              </w:rPr>
              <w:t>2015q2</w:t>
            </w:r>
          </w:p>
        </w:tc>
        <w:tc>
          <w:tcPr>
            <w:tcW w:w="936" w:type="dxa"/>
            <w:tcBorders>
              <w:top w:val="nil"/>
              <w:left w:val="nil"/>
              <w:bottom w:val="single" w:sz="4" w:space="0" w:color="auto"/>
              <w:right w:val="single" w:sz="4" w:space="0" w:color="auto"/>
            </w:tcBorders>
            <w:shd w:val="clear" w:color="auto" w:fill="auto"/>
            <w:hideMark/>
          </w:tcPr>
          <w:p w:rsidR="005D2517" w:rsidRPr="00507DDF" w:rsidRDefault="005D2517" w:rsidP="00BA38A6">
            <w:pPr>
              <w:jc w:val="center"/>
            </w:pPr>
            <w:r w:rsidRPr="00507DDF">
              <w:t>-0.97</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-1.60</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-1.05</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-0.58</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-1.37</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1.11</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2015q3</w:t>
            </w:r>
          </w:p>
        </w:tc>
        <w:tc>
          <w:tcPr>
            <w:tcW w:w="93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pPr>
            <w:r w:rsidRPr="00507DDF">
              <w:t>-1.22</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-1.72</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-1.35</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-0.83</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-1.68</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0.79</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2015q4</w:t>
            </w:r>
          </w:p>
        </w:tc>
        <w:tc>
          <w:tcPr>
            <w:tcW w:w="93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pPr>
            <w:r w:rsidRPr="00507DDF">
              <w:t>-1.43</w:t>
            </w:r>
          </w:p>
        </w:tc>
        <w:tc>
          <w:tcPr>
            <w:tcW w:w="1418"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-1.59</w:t>
            </w:r>
          </w:p>
        </w:tc>
        <w:tc>
          <w:tcPr>
            <w:tcW w:w="1381"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-1.51</w:t>
            </w:r>
          </w:p>
        </w:tc>
        <w:tc>
          <w:tcPr>
            <w:tcW w:w="1453"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-1.29</w:t>
            </w:r>
          </w:p>
        </w:tc>
        <w:tc>
          <w:tcPr>
            <w:tcW w:w="1496" w:type="dxa"/>
            <w:tcBorders>
              <w:top w:val="nil"/>
              <w:left w:val="nil"/>
              <w:bottom w:val="single" w:sz="4" w:space="0" w:color="auto"/>
              <w:right w:val="single" w:sz="4" w:space="0" w:color="auto"/>
            </w:tcBorders>
            <w:shd w:val="clear" w:color="auto" w:fill="auto"/>
            <w:vAlign w:val="center"/>
            <w:hideMark/>
          </w:tcPr>
          <w:p w:rsidR="005D2517" w:rsidRPr="00507DDF" w:rsidRDefault="005D2517" w:rsidP="00BA38A6">
            <w:pPr>
              <w:jc w:val="center"/>
            </w:pPr>
            <w:r w:rsidRPr="00507DDF">
              <w:t>-2.07</w:t>
            </w:r>
          </w:p>
        </w:tc>
        <w:tc>
          <w:tcPr>
            <w:tcW w:w="1276" w:type="dxa"/>
            <w:tcBorders>
              <w:top w:val="nil"/>
              <w:left w:val="nil"/>
              <w:bottom w:val="single" w:sz="4" w:space="0" w:color="auto"/>
              <w:right w:val="single" w:sz="4" w:space="0" w:color="auto"/>
            </w:tcBorders>
            <w:shd w:val="clear" w:color="auto" w:fill="auto"/>
            <w:noWrap/>
            <w:vAlign w:val="center"/>
            <w:hideMark/>
          </w:tcPr>
          <w:p w:rsidR="005D2517" w:rsidRPr="00507DDF" w:rsidRDefault="005D2517" w:rsidP="00BA38A6">
            <w:pPr>
              <w:jc w:val="center"/>
            </w:pPr>
            <w:r w:rsidRPr="00507DDF">
              <w:t>0.28</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lastRenderedPageBreak/>
              <w:t>Average</w:t>
            </w:r>
          </w:p>
        </w:tc>
        <w:tc>
          <w:tcPr>
            <w:tcW w:w="93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0.00</w:t>
            </w:r>
          </w:p>
        </w:tc>
        <w:tc>
          <w:tcPr>
            <w:tcW w:w="1418"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0.00</w:t>
            </w:r>
          </w:p>
        </w:tc>
        <w:tc>
          <w:tcPr>
            <w:tcW w:w="1381"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0.00</w:t>
            </w:r>
          </w:p>
        </w:tc>
        <w:tc>
          <w:tcPr>
            <w:tcW w:w="1453"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0.00</w:t>
            </w:r>
          </w:p>
        </w:tc>
        <w:tc>
          <w:tcPr>
            <w:tcW w:w="149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rPr>
                <w:color w:val="000000"/>
              </w:rPr>
            </w:pPr>
            <w:r w:rsidRPr="00507DDF">
              <w:rPr>
                <w:color w:val="000000"/>
              </w:rPr>
              <w:t>0.00</w:t>
            </w:r>
          </w:p>
        </w:tc>
      </w:tr>
      <w:tr w:rsidR="005D2517" w:rsidRPr="00507DDF" w:rsidTr="00BA38A6">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5D2517" w:rsidRPr="00507DDF" w:rsidRDefault="005D2517" w:rsidP="00BA38A6">
            <w:r w:rsidRPr="00507DDF">
              <w:t>Standard deviation</w:t>
            </w:r>
          </w:p>
        </w:tc>
        <w:tc>
          <w:tcPr>
            <w:tcW w:w="93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1.00</w:t>
            </w:r>
          </w:p>
        </w:tc>
        <w:tc>
          <w:tcPr>
            <w:tcW w:w="1418"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1.00</w:t>
            </w:r>
          </w:p>
        </w:tc>
        <w:tc>
          <w:tcPr>
            <w:tcW w:w="1381"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1.00</w:t>
            </w:r>
          </w:p>
        </w:tc>
        <w:tc>
          <w:tcPr>
            <w:tcW w:w="1453"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1.00</w:t>
            </w:r>
          </w:p>
        </w:tc>
        <w:tc>
          <w:tcPr>
            <w:tcW w:w="1496" w:type="dxa"/>
            <w:tcBorders>
              <w:top w:val="nil"/>
              <w:left w:val="nil"/>
              <w:bottom w:val="single" w:sz="4" w:space="0" w:color="auto"/>
              <w:right w:val="single" w:sz="4" w:space="0" w:color="auto"/>
            </w:tcBorders>
            <w:shd w:val="clear" w:color="auto" w:fill="auto"/>
            <w:vAlign w:val="bottom"/>
            <w:hideMark/>
          </w:tcPr>
          <w:p w:rsidR="005D2517" w:rsidRPr="00507DDF" w:rsidRDefault="005D2517" w:rsidP="00BA38A6">
            <w:pPr>
              <w:jc w:val="center"/>
              <w:rPr>
                <w:color w:val="000000"/>
              </w:rPr>
            </w:pPr>
            <w:r w:rsidRPr="00507DDF">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D2517" w:rsidRPr="00507DDF" w:rsidRDefault="005D2517" w:rsidP="00BA38A6">
            <w:pPr>
              <w:jc w:val="center"/>
              <w:rPr>
                <w:color w:val="000000"/>
              </w:rPr>
            </w:pPr>
            <w:r w:rsidRPr="00507DDF">
              <w:rPr>
                <w:color w:val="000000"/>
              </w:rPr>
              <w:t>1.00</w:t>
            </w:r>
          </w:p>
        </w:tc>
      </w:tr>
    </w:tbl>
    <w:p w:rsidR="005D2517" w:rsidRPr="00507DDF" w:rsidRDefault="005D2517" w:rsidP="005D2517">
      <w:pPr>
        <w:ind w:firstLine="709"/>
        <w:jc w:val="center"/>
        <w:rPr>
          <w:sz w:val="28"/>
          <w:szCs w:val="28"/>
        </w:rPr>
      </w:pPr>
    </w:p>
    <w:p w:rsidR="005D2517" w:rsidRPr="00507DDF" w:rsidRDefault="00A03CA0" w:rsidP="005D2517">
      <w:pPr>
        <w:pageBreakBefore/>
        <w:tabs>
          <w:tab w:val="left" w:pos="142"/>
        </w:tabs>
        <w:ind w:left="5387" w:right="-425"/>
        <w:jc w:val="both"/>
        <w:rPr>
          <w:sz w:val="28"/>
          <w:szCs w:val="28"/>
        </w:rPr>
      </w:pPr>
      <w:r>
        <w:rPr>
          <w:sz w:val="28"/>
          <w:szCs w:val="28"/>
        </w:rPr>
        <w:lastRenderedPageBreak/>
        <w:t xml:space="preserve">Appendix </w:t>
      </w:r>
      <w:r w:rsidR="005D2517" w:rsidRPr="00507DDF">
        <w:rPr>
          <w:sz w:val="28"/>
          <w:szCs w:val="28"/>
        </w:rPr>
        <w:t>5</w:t>
      </w:r>
    </w:p>
    <w:p w:rsidR="005D2517" w:rsidRPr="00507DDF" w:rsidRDefault="00A03CA0" w:rsidP="005D2517">
      <w:pPr>
        <w:tabs>
          <w:tab w:val="left" w:pos="142"/>
        </w:tabs>
        <w:ind w:left="5387" w:right="-2"/>
        <w:rPr>
          <w:sz w:val="28"/>
          <w:szCs w:val="28"/>
        </w:rPr>
      </w:pPr>
      <w:r w:rsidRPr="00A03CA0">
        <w:rPr>
          <w:sz w:val="28"/>
          <w:szCs w:val="28"/>
        </w:rPr>
        <w:t>to the Methodology for constructing a composite leading indicator</w:t>
      </w:r>
    </w:p>
    <w:p w:rsidR="005D2517" w:rsidRPr="00507DDF" w:rsidRDefault="005D2517" w:rsidP="005D2517">
      <w:pPr>
        <w:ind w:firstLine="709"/>
        <w:jc w:val="center"/>
        <w:rPr>
          <w:sz w:val="28"/>
          <w:szCs w:val="28"/>
        </w:rPr>
      </w:pPr>
    </w:p>
    <w:p w:rsidR="005D2517" w:rsidRPr="00507DDF" w:rsidRDefault="005D2517" w:rsidP="005D2517">
      <w:pPr>
        <w:ind w:firstLine="709"/>
        <w:jc w:val="center"/>
        <w:rPr>
          <w:sz w:val="28"/>
          <w:szCs w:val="28"/>
        </w:rPr>
      </w:pPr>
    </w:p>
    <w:p w:rsidR="005D2517" w:rsidRPr="00507DDF" w:rsidRDefault="005D2517" w:rsidP="005D2517">
      <w:pPr>
        <w:ind w:firstLine="708"/>
        <w:rPr>
          <w:b/>
          <w:sz w:val="28"/>
          <w:szCs w:val="28"/>
        </w:rPr>
      </w:pPr>
      <w:r w:rsidRPr="00507DDF">
        <w:rPr>
          <w:b/>
          <w:sz w:val="28"/>
          <w:szCs w:val="28"/>
        </w:rPr>
        <w:t>Dynamics of the composite leading indicator and reference series</w:t>
      </w:r>
    </w:p>
    <w:p w:rsidR="005D2517" w:rsidRPr="00507DDF" w:rsidRDefault="005D2517" w:rsidP="005D2517">
      <w:pPr>
        <w:ind w:firstLine="709"/>
        <w:jc w:val="center"/>
        <w:rPr>
          <w:sz w:val="28"/>
          <w:szCs w:val="28"/>
        </w:rPr>
      </w:pPr>
    </w:p>
    <w:p w:rsidR="005D2517" w:rsidRPr="00507DDF" w:rsidRDefault="005D2517" w:rsidP="005D2517">
      <w:pPr>
        <w:jc w:val="both"/>
        <w:rPr>
          <w:sz w:val="28"/>
          <w:szCs w:val="28"/>
        </w:rPr>
      </w:pPr>
      <w:r w:rsidRPr="009801D7">
        <w:rPr>
          <w:noProof/>
          <w:sz w:val="28"/>
          <w:szCs w:val="28"/>
          <w:lang w:val="ru-RU"/>
        </w:rPr>
        <w:drawing>
          <wp:inline distT="0" distB="0" distL="0" distR="0">
            <wp:extent cx="5838190" cy="3423285"/>
            <wp:effectExtent l="0" t="0" r="10160"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2517" w:rsidRPr="00507DDF" w:rsidRDefault="005D2517" w:rsidP="005D2517">
      <w:pPr>
        <w:rPr>
          <w:sz w:val="28"/>
          <w:szCs w:val="28"/>
        </w:rPr>
      </w:pPr>
    </w:p>
    <w:p w:rsidR="00EB3994" w:rsidRDefault="00EB3994"/>
    <w:sectPr w:rsidR="00EB3994" w:rsidSect="005232D3">
      <w:headerReference w:type="default" r:id="rId11"/>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23" w:rsidRDefault="00041B23">
      <w:r>
        <w:separator/>
      </w:r>
    </w:p>
  </w:endnote>
  <w:endnote w:type="continuationSeparator" w:id="0">
    <w:p w:rsidR="00041B23" w:rsidRDefault="0004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23" w:rsidRDefault="00041B23">
      <w:r>
        <w:separator/>
      </w:r>
    </w:p>
  </w:footnote>
  <w:footnote w:type="continuationSeparator" w:id="0">
    <w:p w:rsidR="00041B23" w:rsidRDefault="0004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FF" w:rsidRDefault="005D2517">
    <w:pPr>
      <w:pStyle w:val="a9"/>
      <w:jc w:val="center"/>
    </w:pPr>
    <w:r>
      <w:fldChar w:fldCharType="begin"/>
    </w:r>
    <w:r>
      <w:instrText xml:space="preserve"> PAGE   \* MERGEFORMAT </w:instrText>
    </w:r>
    <w:r>
      <w:fldChar w:fldCharType="separate"/>
    </w:r>
    <w:r w:rsidR="00D95F03">
      <w:rPr>
        <w:noProof/>
      </w:rPr>
      <w:t>13</w:t>
    </w:r>
    <w:r>
      <w:fldChar w:fldCharType="end"/>
    </w:r>
  </w:p>
  <w:p w:rsidR="009276FF" w:rsidRPr="00D96ACD" w:rsidRDefault="00041B23" w:rsidP="00882967">
    <w:pPr>
      <w:pStyle w:val="a9"/>
      <w:tabs>
        <w:tab w:val="left" w:pos="284"/>
      </w:tabs>
      <w:ind w:left="720"/>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4B71820"/>
    <w:multiLevelType w:val="hybridMultilevel"/>
    <w:tmpl w:val="760E5A5E"/>
    <w:lvl w:ilvl="0" w:tplc="33E2C628">
      <w:start w:val="1"/>
      <w:numFmt w:val="decimal"/>
      <w:suff w:val="space"/>
      <w:lvlText w:val="%1."/>
      <w:lvlJc w:val="left"/>
      <w:pPr>
        <w:ind w:left="1211"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E1D2010"/>
    <w:multiLevelType w:val="hybridMultilevel"/>
    <w:tmpl w:val="953EEC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F85FAB"/>
    <w:multiLevelType w:val="hybridMultilevel"/>
    <w:tmpl w:val="A0E63FAE"/>
    <w:lvl w:ilvl="0" w:tplc="1930973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5813CFF"/>
    <w:multiLevelType w:val="hybridMultilevel"/>
    <w:tmpl w:val="760E5A5E"/>
    <w:lvl w:ilvl="0" w:tplc="33E2C628">
      <w:start w:val="1"/>
      <w:numFmt w:val="decimal"/>
      <w:suff w:val="space"/>
      <w:lvlText w:val="%1."/>
      <w:lvlJc w:val="left"/>
      <w:pPr>
        <w:ind w:left="928"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6CB26E5"/>
    <w:multiLevelType w:val="hybridMultilevel"/>
    <w:tmpl w:val="ACC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70F95"/>
    <w:multiLevelType w:val="hybridMultilevel"/>
    <w:tmpl w:val="2E84C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4786D"/>
    <w:multiLevelType w:val="hybridMultilevel"/>
    <w:tmpl w:val="8A40527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D20505A"/>
    <w:multiLevelType w:val="multilevel"/>
    <w:tmpl w:val="663ECF1C"/>
    <w:lvl w:ilvl="0">
      <w:start w:val="1"/>
      <w:numFmt w:val="decimal"/>
      <w:lvlText w:val="%1."/>
      <w:lvlJc w:val="left"/>
      <w:pPr>
        <w:ind w:left="815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067195"/>
    <w:multiLevelType w:val="hybridMultilevel"/>
    <w:tmpl w:val="9D623032"/>
    <w:lvl w:ilvl="0" w:tplc="F174A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725D56"/>
    <w:multiLevelType w:val="hybridMultilevel"/>
    <w:tmpl w:val="9D623032"/>
    <w:lvl w:ilvl="0" w:tplc="F174A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A380A4B"/>
    <w:multiLevelType w:val="hybridMultilevel"/>
    <w:tmpl w:val="326A6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F576F2"/>
    <w:multiLevelType w:val="hybridMultilevel"/>
    <w:tmpl w:val="F4E8F756"/>
    <w:lvl w:ilvl="0" w:tplc="4070830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6971B2D"/>
    <w:multiLevelType w:val="multilevel"/>
    <w:tmpl w:val="9FD4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6D4D35"/>
    <w:multiLevelType w:val="hybridMultilevel"/>
    <w:tmpl w:val="6A1AE4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9"/>
  </w:num>
  <w:num w:numId="4">
    <w:abstractNumId w:val="7"/>
  </w:num>
  <w:num w:numId="5">
    <w:abstractNumId w:val="14"/>
  </w:num>
  <w:num w:numId="6">
    <w:abstractNumId w:val="10"/>
  </w:num>
  <w:num w:numId="7">
    <w:abstractNumId w:val="6"/>
  </w:num>
  <w:num w:numId="8">
    <w:abstractNumId w:val="0"/>
  </w:num>
  <w:num w:numId="9">
    <w:abstractNumId w:val="8"/>
  </w:num>
  <w:num w:numId="10">
    <w:abstractNumId w:val="12"/>
  </w:num>
  <w:num w:numId="11">
    <w:abstractNumId w:val="4"/>
  </w:num>
  <w:num w:numId="12">
    <w:abstractNumId w:val="1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61"/>
    <w:rsid w:val="00041B23"/>
    <w:rsid w:val="0026797F"/>
    <w:rsid w:val="00414861"/>
    <w:rsid w:val="005D2517"/>
    <w:rsid w:val="00A03CA0"/>
    <w:rsid w:val="00D95F03"/>
    <w:rsid w:val="00EB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34B3"/>
  <w15:chartTrackingRefBased/>
  <w15:docId w15:val="{17F6E32F-DBE9-4465-8003-0A28CD6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1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5D2517"/>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2517"/>
    <w:rPr>
      <w:rFonts w:ascii="Cambria" w:eastAsia="Times New Roman" w:hAnsi="Cambria" w:cs="Times New Roman"/>
      <w:b/>
      <w:bCs/>
      <w:sz w:val="26"/>
      <w:szCs w:val="26"/>
      <w:lang w:val="en" w:eastAsia="ru-RU"/>
    </w:rPr>
  </w:style>
  <w:style w:type="character" w:styleId="a3">
    <w:name w:val="Placeholder Text"/>
    <w:basedOn w:val="a0"/>
    <w:uiPriority w:val="99"/>
    <w:semiHidden/>
    <w:rsid w:val="005D2517"/>
    <w:rPr>
      <w:color w:val="808080"/>
    </w:rPr>
  </w:style>
  <w:style w:type="paragraph" w:styleId="a4">
    <w:name w:val="Balloon Text"/>
    <w:basedOn w:val="a"/>
    <w:link w:val="a5"/>
    <w:uiPriority w:val="99"/>
    <w:semiHidden/>
    <w:unhideWhenUsed/>
    <w:rsid w:val="005D2517"/>
    <w:rPr>
      <w:rFonts w:ascii="Tahoma" w:hAnsi="Tahoma" w:cs="Tahoma"/>
      <w:sz w:val="16"/>
      <w:szCs w:val="16"/>
    </w:rPr>
  </w:style>
  <w:style w:type="character" w:customStyle="1" w:styleId="a5">
    <w:name w:val="Текст выноски Знак"/>
    <w:basedOn w:val="a0"/>
    <w:link w:val="a4"/>
    <w:uiPriority w:val="99"/>
    <w:semiHidden/>
    <w:rsid w:val="005D2517"/>
    <w:rPr>
      <w:rFonts w:ascii="Tahoma" w:eastAsia="Times New Roman" w:hAnsi="Tahoma" w:cs="Tahoma"/>
      <w:sz w:val="16"/>
      <w:szCs w:val="16"/>
      <w:lang w:val="en" w:eastAsia="ru-RU"/>
    </w:rPr>
  </w:style>
  <w:style w:type="character" w:styleId="a6">
    <w:name w:val="Hyperlink"/>
    <w:basedOn w:val="a0"/>
    <w:uiPriority w:val="99"/>
    <w:unhideWhenUsed/>
    <w:rsid w:val="005D2517"/>
    <w:rPr>
      <w:color w:val="0000FF"/>
      <w:u w:val="single"/>
    </w:rPr>
  </w:style>
  <w:style w:type="paragraph" w:customStyle="1" w:styleId="a7">
    <w:name w:val="ОснТекст"/>
    <w:link w:val="a8"/>
    <w:uiPriority w:val="99"/>
    <w:rsid w:val="005D251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Текст Знак"/>
    <w:basedOn w:val="a0"/>
    <w:link w:val="a7"/>
    <w:uiPriority w:val="99"/>
    <w:locked/>
    <w:rsid w:val="005D2517"/>
    <w:rPr>
      <w:rFonts w:ascii="Times New Roman" w:eastAsia="Times New Roman" w:hAnsi="Times New Roman" w:cs="Times New Roman"/>
      <w:sz w:val="20"/>
      <w:szCs w:val="20"/>
      <w:lang w:val="en" w:eastAsia="ru-RU"/>
    </w:rPr>
  </w:style>
  <w:style w:type="paragraph" w:styleId="a9">
    <w:name w:val="header"/>
    <w:basedOn w:val="a"/>
    <w:link w:val="aa"/>
    <w:uiPriority w:val="99"/>
    <w:unhideWhenUsed/>
    <w:rsid w:val="005D2517"/>
    <w:pPr>
      <w:tabs>
        <w:tab w:val="center" w:pos="4677"/>
        <w:tab w:val="right" w:pos="9355"/>
      </w:tabs>
    </w:pPr>
  </w:style>
  <w:style w:type="character" w:customStyle="1" w:styleId="aa">
    <w:name w:val="Верхний колонтитул Знак"/>
    <w:basedOn w:val="a0"/>
    <w:link w:val="a9"/>
    <w:uiPriority w:val="99"/>
    <w:rsid w:val="005D2517"/>
    <w:rPr>
      <w:rFonts w:ascii="Times New Roman" w:eastAsia="Times New Roman" w:hAnsi="Times New Roman" w:cs="Times New Roman"/>
      <w:sz w:val="20"/>
      <w:szCs w:val="20"/>
      <w:lang w:val="en" w:eastAsia="ru-RU"/>
    </w:rPr>
  </w:style>
  <w:style w:type="paragraph" w:styleId="ab">
    <w:name w:val="footer"/>
    <w:basedOn w:val="a"/>
    <w:link w:val="ac"/>
    <w:uiPriority w:val="99"/>
    <w:semiHidden/>
    <w:unhideWhenUsed/>
    <w:rsid w:val="005D2517"/>
    <w:pPr>
      <w:tabs>
        <w:tab w:val="center" w:pos="4677"/>
        <w:tab w:val="right" w:pos="9355"/>
      </w:tabs>
    </w:pPr>
  </w:style>
  <w:style w:type="character" w:customStyle="1" w:styleId="ac">
    <w:name w:val="Нижний колонтитул Знак"/>
    <w:basedOn w:val="a0"/>
    <w:link w:val="ab"/>
    <w:uiPriority w:val="99"/>
    <w:semiHidden/>
    <w:rsid w:val="005D2517"/>
    <w:rPr>
      <w:rFonts w:ascii="Times New Roman" w:eastAsia="Times New Roman" w:hAnsi="Times New Roman" w:cs="Times New Roman"/>
      <w:sz w:val="20"/>
      <w:szCs w:val="20"/>
      <w:lang w:val="en" w:eastAsia="ru-RU"/>
    </w:rPr>
  </w:style>
  <w:style w:type="paragraph" w:customStyle="1" w:styleId="ad">
    <w:basedOn w:val="a"/>
    <w:next w:val="ae"/>
    <w:link w:val="af"/>
    <w:qFormat/>
    <w:rsid w:val="005D2517"/>
    <w:pPr>
      <w:jc w:val="center"/>
    </w:pPr>
    <w:rPr>
      <w:rFonts w:cstheme="minorBidi"/>
      <w:b/>
      <w:sz w:val="28"/>
      <w:szCs w:val="22"/>
      <w:lang w:eastAsia="en-US"/>
    </w:rPr>
  </w:style>
  <w:style w:type="character" w:customStyle="1" w:styleId="af">
    <w:name w:val="Название Знак"/>
    <w:basedOn w:val="a0"/>
    <w:link w:val="ad"/>
    <w:rsid w:val="005D2517"/>
    <w:rPr>
      <w:rFonts w:ascii="Times New Roman" w:eastAsia="Times New Roman" w:hAnsi="Times New Roman"/>
      <w:b/>
      <w:sz w:val="28"/>
    </w:rPr>
  </w:style>
  <w:style w:type="paragraph" w:styleId="af0">
    <w:name w:val="List Paragraph"/>
    <w:basedOn w:val="a"/>
    <w:uiPriority w:val="34"/>
    <w:qFormat/>
    <w:rsid w:val="005D2517"/>
    <w:pPr>
      <w:ind w:left="720"/>
      <w:contextualSpacing/>
    </w:pPr>
  </w:style>
  <w:style w:type="paragraph" w:styleId="af1">
    <w:name w:val="Normal (Web)"/>
    <w:basedOn w:val="a"/>
    <w:uiPriority w:val="99"/>
    <w:rsid w:val="005D2517"/>
    <w:pPr>
      <w:spacing w:before="100" w:beforeAutospacing="1" w:after="100" w:afterAutospacing="1"/>
    </w:pPr>
    <w:rPr>
      <w:rFonts w:ascii="Verdana" w:hAnsi="Verdana"/>
      <w:color w:val="000000"/>
    </w:rPr>
  </w:style>
  <w:style w:type="paragraph" w:styleId="ae">
    <w:name w:val="Title"/>
    <w:basedOn w:val="a"/>
    <w:next w:val="a"/>
    <w:link w:val="af2"/>
    <w:uiPriority w:val="10"/>
    <w:qFormat/>
    <w:rsid w:val="005D2517"/>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e"/>
    <w:uiPriority w:val="10"/>
    <w:rsid w:val="005D2517"/>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prognoz.ru/biu/ru/%D0%92%D1%80%D0%B5%D0%BC%D0%B5%D0%BD%D0%BD%D1%8B%D0%B5_%D1%80%D1%8F%D0%B4%D1%8B%2C_%D1%81%D0%BE%D1%81%D1%82%D0%B0%D0%B2%D0%BB%D1%8F%D1%8E%D1%89%D0%B8%D0%B5_%D0%B2%D1%80%D0%B5%D0%BC%D0%B5%D0%BD%D0%BD%D0%BE%D0%B3%D0%BE_%D1%80%D1%8F%D0%B4%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Z100000257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ursultanova\Desktop\CLI_example_excel_&#1076;&#1083;&#1103;%20&#1084;&#1077;&#1090;&#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4.1647304332859646E-2"/>
          <c:y val="2.320215852707604E-2"/>
          <c:w val="0.95761456047502269"/>
          <c:h val="0.8391089707652013"/>
        </c:manualLayout>
      </c:layout>
      <c:lineChart>
        <c:grouping val="standard"/>
        <c:varyColors val="1"/>
        <c:ser>
          <c:idx val="0"/>
          <c:order val="0"/>
          <c:tx>
            <c:strRef>
              <c:f>'6-index'!$F$4</c:f>
              <c:strCache>
                <c:ptCount val="1"/>
                <c:pt idx="0">
                  <c:v>GDP_R 2006 = 100</c:v>
                </c:pt>
              </c:strCache>
            </c:strRef>
          </c:tx>
          <c:marker>
            <c:symbol val="none"/>
          </c:marker>
          <c:cat>
            <c:strRef>
              <c:f>'6-index'!$A$5:$A$44</c:f>
              <c:strCache>
                <c:ptCount val="40"/>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pt idx="37">
                  <c:v>2015q2</c:v>
                </c:pt>
                <c:pt idx="38">
                  <c:v>2015q3</c:v>
                </c:pt>
                <c:pt idx="39">
                  <c:v>2015q4</c:v>
                </c:pt>
              </c:strCache>
            </c:strRef>
          </c:cat>
          <c:val>
            <c:numRef>
              <c:f>'6-index'!$F$5:$F$44</c:f>
              <c:numCache>
                <c:formatCode>#,##0.00</c:formatCode>
                <c:ptCount val="40"/>
                <c:pt idx="0">
                  <c:v>99.783450394131819</c:v>
                </c:pt>
                <c:pt idx="1">
                  <c:v>99.966254076924116</c:v>
                </c:pt>
                <c:pt idx="2">
                  <c:v>100.07841642243289</c:v>
                </c:pt>
                <c:pt idx="3">
                  <c:v>100.17187910650777</c:v>
                </c:pt>
                <c:pt idx="4">
                  <c:v>100.23673628826867</c:v>
                </c:pt>
                <c:pt idx="5">
                  <c:v>100.17750000094495</c:v>
                </c:pt>
                <c:pt idx="6">
                  <c:v>100.00983338310716</c:v>
                </c:pt>
                <c:pt idx="7">
                  <c:v>99.845758223715478</c:v>
                </c:pt>
                <c:pt idx="8">
                  <c:v>99.653486923662967</c:v>
                </c:pt>
                <c:pt idx="9">
                  <c:v>99.437264632129796</c:v>
                </c:pt>
                <c:pt idx="10">
                  <c:v>99.179691800119485</c:v>
                </c:pt>
                <c:pt idx="11">
                  <c:v>98.802443567318292</c:v>
                </c:pt>
                <c:pt idx="12">
                  <c:v>98.413113547994527</c:v>
                </c:pt>
                <c:pt idx="13">
                  <c:v>98.225909018587558</c:v>
                </c:pt>
                <c:pt idx="14">
                  <c:v>98.356276670593786</c:v>
                </c:pt>
                <c:pt idx="15">
                  <c:v>98.768637836612058</c:v>
                </c:pt>
                <c:pt idx="16">
                  <c:v>99.287257484198491</c:v>
                </c:pt>
                <c:pt idx="17">
                  <c:v>99.613795027178909</c:v>
                </c:pt>
                <c:pt idx="18">
                  <c:v>99.658819074258858</c:v>
                </c:pt>
                <c:pt idx="19">
                  <c:v>99.60022728102436</c:v>
                </c:pt>
                <c:pt idx="20">
                  <c:v>99.593449484006427</c:v>
                </c:pt>
                <c:pt idx="21">
                  <c:v>99.631279993995832</c:v>
                </c:pt>
                <c:pt idx="22">
                  <c:v>99.646893214196709</c:v>
                </c:pt>
                <c:pt idx="23">
                  <c:v>99.575800100920247</c:v>
                </c:pt>
                <c:pt idx="24">
                  <c:v>99.448300150966318</c:v>
                </c:pt>
                <c:pt idx="25">
                  <c:v>99.342355827872979</c:v>
                </c:pt>
                <c:pt idx="26">
                  <c:v>99.28628403803809</c:v>
                </c:pt>
                <c:pt idx="27">
                  <c:v>99.261840650586649</c:v>
                </c:pt>
                <c:pt idx="28">
                  <c:v>99.287752698741741</c:v>
                </c:pt>
                <c:pt idx="29">
                  <c:v>99.351690169313727</c:v>
                </c:pt>
                <c:pt idx="30">
                  <c:v>99.387177919475448</c:v>
                </c:pt>
                <c:pt idx="31">
                  <c:v>99.365163204700465</c:v>
                </c:pt>
                <c:pt idx="32">
                  <c:v>99.279603168836204</c:v>
                </c:pt>
                <c:pt idx="33">
                  <c:v>99.203057161024518</c:v>
                </c:pt>
                <c:pt idx="34">
                  <c:v>99.166320107895189</c:v>
                </c:pt>
                <c:pt idx="35">
                  <c:v>99.123143470058082</c:v>
                </c:pt>
                <c:pt idx="36">
                  <c:v>99.023963583328424</c:v>
                </c:pt>
                <c:pt idx="37">
                  <c:v>98.881827983388987</c:v>
                </c:pt>
                <c:pt idx="38">
                  <c:v>98.756727120435258</c:v>
                </c:pt>
                <c:pt idx="39">
                  <c:v>98.652328837539031</c:v>
                </c:pt>
              </c:numCache>
            </c:numRef>
          </c:val>
          <c:smooth val="1"/>
          <c:extLst>
            <c:ext xmlns:c16="http://schemas.microsoft.com/office/drawing/2014/chart" uri="{C3380CC4-5D6E-409C-BE32-E72D297353CC}">
              <c16:uniqueId val="{00000000-1D4F-41BE-B9FB-2169295D813B}"/>
            </c:ext>
          </c:extLst>
        </c:ser>
        <c:ser>
          <c:idx val="1"/>
          <c:order val="1"/>
          <c:tx>
            <c:strRef>
              <c:f>'6-index'!$G$4</c:f>
              <c:strCache>
                <c:ptCount val="1"/>
                <c:pt idx="0">
                  <c:v>CLI</c:v>
                </c:pt>
              </c:strCache>
            </c:strRef>
          </c:tx>
          <c:spPr>
            <a:ln>
              <a:prstDash val="sysDash"/>
            </a:ln>
          </c:spPr>
          <c:marker>
            <c:symbol val="circle"/>
            <c:size val="5"/>
          </c:marker>
          <c:cat>
            <c:strRef>
              <c:f>'6-index'!$A$5:$A$44</c:f>
              <c:strCache>
                <c:ptCount val="40"/>
                <c:pt idx="0">
                  <c:v>2006q1</c:v>
                </c:pt>
                <c:pt idx="1">
                  <c:v>2006q2</c:v>
                </c:pt>
                <c:pt idx="2">
                  <c:v>2006q3</c:v>
                </c:pt>
                <c:pt idx="3">
                  <c:v>2006q4</c:v>
                </c:pt>
                <c:pt idx="4">
                  <c:v>2007q1</c:v>
                </c:pt>
                <c:pt idx="5">
                  <c:v>2007q2</c:v>
                </c:pt>
                <c:pt idx="6">
                  <c:v>2007q3</c:v>
                </c:pt>
                <c:pt idx="7">
                  <c:v>2007q4</c:v>
                </c:pt>
                <c:pt idx="8">
                  <c:v>2008q1</c:v>
                </c:pt>
                <c:pt idx="9">
                  <c:v>2008q2</c:v>
                </c:pt>
                <c:pt idx="10">
                  <c:v>2008q3</c:v>
                </c:pt>
                <c:pt idx="11">
                  <c:v>2008q4</c:v>
                </c:pt>
                <c:pt idx="12">
                  <c:v>2009q1</c:v>
                </c:pt>
                <c:pt idx="13">
                  <c:v>2009q2</c:v>
                </c:pt>
                <c:pt idx="14">
                  <c:v>2009q3</c:v>
                </c:pt>
                <c:pt idx="15">
                  <c:v>2009q4</c:v>
                </c:pt>
                <c:pt idx="16">
                  <c:v>2010q1</c:v>
                </c:pt>
                <c:pt idx="17">
                  <c:v>2010q2</c:v>
                </c:pt>
                <c:pt idx="18">
                  <c:v>2010q3</c:v>
                </c:pt>
                <c:pt idx="19">
                  <c:v>2010q4</c:v>
                </c:pt>
                <c:pt idx="20">
                  <c:v>2011q1</c:v>
                </c:pt>
                <c:pt idx="21">
                  <c:v>2011q2</c:v>
                </c:pt>
                <c:pt idx="22">
                  <c:v>2011q3</c:v>
                </c:pt>
                <c:pt idx="23">
                  <c:v>2011q4</c:v>
                </c:pt>
                <c:pt idx="24">
                  <c:v>2012q1</c:v>
                </c:pt>
                <c:pt idx="25">
                  <c:v>2012q2</c:v>
                </c:pt>
                <c:pt idx="26">
                  <c:v>2012q3</c:v>
                </c:pt>
                <c:pt idx="27">
                  <c:v>2012q4</c:v>
                </c:pt>
                <c:pt idx="28">
                  <c:v>2013q1</c:v>
                </c:pt>
                <c:pt idx="29">
                  <c:v>2013q2</c:v>
                </c:pt>
                <c:pt idx="30">
                  <c:v>2013q3</c:v>
                </c:pt>
                <c:pt idx="31">
                  <c:v>2013q4</c:v>
                </c:pt>
                <c:pt idx="32">
                  <c:v>2014q1</c:v>
                </c:pt>
                <c:pt idx="33">
                  <c:v>2014q2</c:v>
                </c:pt>
                <c:pt idx="34">
                  <c:v>2014q3</c:v>
                </c:pt>
                <c:pt idx="35">
                  <c:v>2014q4</c:v>
                </c:pt>
                <c:pt idx="36">
                  <c:v>2015q1</c:v>
                </c:pt>
                <c:pt idx="37">
                  <c:v>2015q2</c:v>
                </c:pt>
                <c:pt idx="38">
                  <c:v>2015q3</c:v>
                </c:pt>
                <c:pt idx="39">
                  <c:v>2015q4</c:v>
                </c:pt>
              </c:strCache>
            </c:strRef>
          </c:cat>
          <c:val>
            <c:numRef>
              <c:f>'6-index'!$G$5:$G$44</c:f>
              <c:numCache>
                <c:formatCode>#,##0.00</c:formatCode>
                <c:ptCount val="40"/>
                <c:pt idx="0">
                  <c:v>100.06519135148008</c:v>
                </c:pt>
                <c:pt idx="1">
                  <c:v>100.23248763339946</c:v>
                </c:pt>
                <c:pt idx="2">
                  <c:v>100.11099099886394</c:v>
                </c:pt>
                <c:pt idx="3">
                  <c:v>100.10742252774988</c:v>
                </c:pt>
                <c:pt idx="4">
                  <c:v>100.16149671465375</c:v>
                </c:pt>
                <c:pt idx="5">
                  <c:v>100.13860451533355</c:v>
                </c:pt>
                <c:pt idx="6">
                  <c:v>100.12577996359254</c:v>
                </c:pt>
                <c:pt idx="7">
                  <c:v>100.12079507282316</c:v>
                </c:pt>
                <c:pt idx="8">
                  <c:v>100.0391087464305</c:v>
                </c:pt>
                <c:pt idx="9">
                  <c:v>99.861911379755</c:v>
                </c:pt>
                <c:pt idx="10">
                  <c:v>99.556178224582538</c:v>
                </c:pt>
                <c:pt idx="11">
                  <c:v>99.152112143707058</c:v>
                </c:pt>
                <c:pt idx="12">
                  <c:v>98.861742277860458</c:v>
                </c:pt>
                <c:pt idx="13">
                  <c:v>98.882185890203758</c:v>
                </c:pt>
                <c:pt idx="14">
                  <c:v>99.140914391125492</c:v>
                </c:pt>
                <c:pt idx="15">
                  <c:v>99.400343593929648</c:v>
                </c:pt>
                <c:pt idx="16">
                  <c:v>99.536244471343991</c:v>
                </c:pt>
                <c:pt idx="17">
                  <c:v>99.560490108734058</c:v>
                </c:pt>
                <c:pt idx="18">
                  <c:v>99.577481989818196</c:v>
                </c:pt>
                <c:pt idx="19">
                  <c:v>99.645589809110064</c:v>
                </c:pt>
                <c:pt idx="20">
                  <c:v>99.714719068903548</c:v>
                </c:pt>
                <c:pt idx="21">
                  <c:v>99.75389067798865</c:v>
                </c:pt>
                <c:pt idx="22">
                  <c:v>99.725003327747942</c:v>
                </c:pt>
                <c:pt idx="23">
                  <c:v>99.651069610379722</c:v>
                </c:pt>
                <c:pt idx="24">
                  <c:v>99.663431632583055</c:v>
                </c:pt>
                <c:pt idx="25">
                  <c:v>99.730121094100994</c:v>
                </c:pt>
                <c:pt idx="26">
                  <c:v>99.769140726434458</c:v>
                </c:pt>
                <c:pt idx="27">
                  <c:v>99.804940127684674</c:v>
                </c:pt>
                <c:pt idx="28">
                  <c:v>99.748000023932065</c:v>
                </c:pt>
                <c:pt idx="29">
                  <c:v>99.602826902362438</c:v>
                </c:pt>
                <c:pt idx="30">
                  <c:v>99.518526283578296</c:v>
                </c:pt>
                <c:pt idx="31">
                  <c:v>99.554968466909685</c:v>
                </c:pt>
                <c:pt idx="32">
                  <c:v>99.606141407155718</c:v>
                </c:pt>
                <c:pt idx="33">
                  <c:v>99.623212932298358</c:v>
                </c:pt>
                <c:pt idx="34">
                  <c:v>99.549609463723527</c:v>
                </c:pt>
                <c:pt idx="35">
                  <c:v>99.407267942163827</c:v>
                </c:pt>
                <c:pt idx="36">
                  <c:v>99.279633872049658</c:v>
                </c:pt>
                <c:pt idx="37">
                  <c:v>99.178069790657958</c:v>
                </c:pt>
                <c:pt idx="38">
                  <c:v>99.082220194317827</c:v>
                </c:pt>
                <c:pt idx="39">
                  <c:v>98.995501787681178</c:v>
                </c:pt>
              </c:numCache>
            </c:numRef>
          </c:val>
          <c:smooth val="1"/>
          <c:extLst>
            <c:ext xmlns:c16="http://schemas.microsoft.com/office/drawing/2014/chart" uri="{C3380CC4-5D6E-409C-BE32-E72D297353CC}">
              <c16:uniqueId val="{00000001-1D4F-41BE-B9FB-2169295D813B}"/>
            </c:ext>
          </c:extLst>
        </c:ser>
        <c:dLbls>
          <c:showLegendKey val="0"/>
          <c:showVal val="0"/>
          <c:showCatName val="0"/>
          <c:showSerName val="0"/>
          <c:showPercent val="0"/>
          <c:showBubbleSize val="0"/>
        </c:dLbls>
        <c:smooth val="0"/>
        <c:axId val="137529600"/>
        <c:axId val="149128320"/>
      </c:lineChart>
      <c:catAx>
        <c:axId val="137529600"/>
        <c:scaling>
          <c:orientation val="minMax"/>
        </c:scaling>
        <c:delete val="1"/>
        <c:axPos val="b"/>
        <c:numFmt formatCode="dd/mm/yyyy" sourceLinked="0"/>
        <c:majorTickMark val="cross"/>
        <c:minorTickMark val="cross"/>
        <c:tickLblPos val="nextTo"/>
        <c:crossAx val="149128320"/>
        <c:crosses val="autoZero"/>
        <c:auto val="1"/>
        <c:lblAlgn val="ctr"/>
        <c:lblOffset val="100"/>
        <c:tickLblSkip val="6"/>
        <c:noMultiLvlLbl val="1"/>
      </c:catAx>
      <c:valAx>
        <c:axId val="149128320"/>
        <c:scaling>
          <c:orientation val="minMax"/>
          <c:min val="97"/>
        </c:scaling>
        <c:delete val="1"/>
        <c:axPos val="l"/>
        <c:majorGridlines/>
        <c:numFmt formatCode="#,##0.00" sourceLinked="1"/>
        <c:majorTickMark val="cross"/>
        <c:minorTickMark val="cross"/>
        <c:tickLblPos val="nextTo"/>
        <c:crossAx val="137529600"/>
        <c:crosses val="autoZero"/>
        <c:crossBetween val="between"/>
      </c:valAx>
      <c:spPr>
        <a:effectLst>
          <a:glow rad="63500">
            <a:schemeClr val="accent1">
              <a:satMod val="175000"/>
              <a:alpha val="40000"/>
            </a:schemeClr>
          </a:glow>
        </a:effectLst>
      </c:spPr>
    </c:plotArea>
    <c:legend>
      <c:legendPos val="r"/>
      <c:layout>
        <c:manualLayout>
          <c:xMode val="edge"/>
          <c:yMode val="edge"/>
          <c:x val="0.26893144209409825"/>
          <c:y val="0.71911305823642735"/>
          <c:w val="0.55221859927795336"/>
          <c:h val="7.5579712517814798E-2"/>
        </c:manualLayout>
      </c:layout>
      <c:overlay val="1"/>
      <c:txPr>
        <a:bodyPr/>
        <a:lstStyle/>
        <a:p>
          <a:pPr>
            <a:defRPr lang="en-US"/>
          </a:pPr>
          <a:endParaRPr lang="ru-RU"/>
        </a:p>
      </c:txPr>
    </c:legend>
    <c:plotVisOnly val="1"/>
    <c:dispBlanksAs val="gap"/>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0.70618</cdr:x>
      <cdr:y>0.2354</cdr:y>
    </cdr:from>
    <cdr:to>
      <cdr:x>0.77272</cdr:x>
      <cdr:y>0.26312</cdr:y>
    </cdr:to>
    <cdr:cxnSp macro="">
      <cdr:nvCxnSpPr>
        <cdr:cNvPr id="3" name="Gerade Verbindung mit Pfeil 2"/>
        <cdr:cNvCxnSpPr/>
      </cdr:nvCxnSpPr>
      <cdr:spPr>
        <a:xfrm xmlns:a="http://schemas.openxmlformats.org/drawingml/2006/main">
          <a:off x="4499917" y="931570"/>
          <a:ext cx="424008" cy="10969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0.32831</cdr:x>
      <cdr:y>0.56034</cdr:y>
    </cdr:from>
    <cdr:to>
      <cdr:x>0.39997</cdr:x>
      <cdr:y>0.56628</cdr:y>
    </cdr:to>
    <cdr:cxnSp macro="">
      <cdr:nvCxnSpPr>
        <cdr:cNvPr id="4" name="Gerade Verbindung mit Pfeil 3"/>
        <cdr:cNvCxnSpPr/>
      </cdr:nvCxnSpPr>
      <cdr:spPr>
        <a:xfrm xmlns:a="http://schemas.openxmlformats.org/drawingml/2006/main" flipV="1">
          <a:off x="2092042" y="2217449"/>
          <a:ext cx="456634" cy="2350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0.61279</cdr:x>
      <cdr:y>0.30688</cdr:y>
    </cdr:from>
    <cdr:to>
      <cdr:x>0.68444</cdr:x>
      <cdr:y>0.31282</cdr:y>
    </cdr:to>
    <cdr:cxnSp macro="">
      <cdr:nvCxnSpPr>
        <cdr:cNvPr id="5" name="Gerade Verbindung mit Pfeil 4"/>
        <cdr:cNvCxnSpPr/>
      </cdr:nvCxnSpPr>
      <cdr:spPr>
        <a:xfrm xmlns:a="http://schemas.openxmlformats.org/drawingml/2006/main" flipV="1">
          <a:off x="3904867" y="1214432"/>
          <a:ext cx="456570" cy="2350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0.82585</cdr:x>
      <cdr:y>0.34273</cdr:y>
    </cdr:from>
    <cdr:to>
      <cdr:x>0.89751</cdr:x>
      <cdr:y>0.34866</cdr:y>
    </cdr:to>
    <cdr:cxnSp macro="">
      <cdr:nvCxnSpPr>
        <cdr:cNvPr id="7" name="Gerade Verbindung mit Pfeil 6"/>
        <cdr:cNvCxnSpPr/>
      </cdr:nvCxnSpPr>
      <cdr:spPr>
        <a:xfrm xmlns:a="http://schemas.openxmlformats.org/drawingml/2006/main" flipV="1">
          <a:off x="5262509" y="1356282"/>
          <a:ext cx="456633" cy="23467"/>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2023-05-29T07:50:00Z</dcterms:created>
  <dcterms:modified xsi:type="dcterms:W3CDTF">2023-05-29T08:06:00Z</dcterms:modified>
</cp:coreProperties>
</file>